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3C86E5" w14:textId="77777777" w:rsidR="00685E04" w:rsidRDefault="00685E04"/>
    <w:p w14:paraId="400FD8BB" w14:textId="77777777" w:rsidR="00685E04" w:rsidRDefault="00963ECD">
      <w:pPr>
        <w:jc w:val="center"/>
      </w:pPr>
      <w:r>
        <w:rPr>
          <w:noProof/>
        </w:rPr>
        <w:drawing>
          <wp:inline distT="0" distB="0" distL="0" distR="0" wp14:anchorId="55BC09EA" wp14:editId="29D54940">
            <wp:extent cx="4140200" cy="2222500"/>
            <wp:effectExtent l="0" t="0" r="0" b="0"/>
            <wp:docPr id="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pic:cNvPicPr>
                      <a:picLocks noChangeAspect="1" noChangeArrowheads="1"/>
                    </pic:cNvPicPr>
                  </pic:nvPicPr>
                  <pic:blipFill>
                    <a:blip r:embed="rId8"/>
                    <a:stretch>
                      <a:fillRect/>
                    </a:stretch>
                  </pic:blipFill>
                  <pic:spPr bwMode="auto">
                    <a:xfrm>
                      <a:off x="0" y="0"/>
                      <a:ext cx="4140200" cy="2222500"/>
                    </a:xfrm>
                    <a:prstGeom prst="rect">
                      <a:avLst/>
                    </a:prstGeom>
                    <a:noFill/>
                    <a:ln w="9525">
                      <a:noFill/>
                      <a:miter lim="800000"/>
                      <a:headEnd/>
                      <a:tailEnd/>
                    </a:ln>
                  </pic:spPr>
                </pic:pic>
              </a:graphicData>
            </a:graphic>
          </wp:inline>
        </w:drawing>
      </w:r>
    </w:p>
    <w:p w14:paraId="3AFA5A19" w14:textId="77777777" w:rsidR="00685E04" w:rsidRDefault="00685E04"/>
    <w:p w14:paraId="315F3498" w14:textId="77777777" w:rsidR="00685E04" w:rsidRDefault="00685E04"/>
    <w:p w14:paraId="2C7177F2" w14:textId="77777777" w:rsidR="00685E04" w:rsidRDefault="00685E04"/>
    <w:p w14:paraId="181358C1" w14:textId="77777777" w:rsidR="00685E04" w:rsidRDefault="00685E04"/>
    <w:p w14:paraId="3940B5C9" w14:textId="77777777" w:rsidR="00685E04" w:rsidRDefault="00685E04"/>
    <w:p w14:paraId="028AB96A" w14:textId="77777777" w:rsidR="00685E04" w:rsidRDefault="00963ECD">
      <w:pPr>
        <w:jc w:val="center"/>
        <w:rPr>
          <w:b/>
          <w:sz w:val="52"/>
          <w:szCs w:val="52"/>
        </w:rPr>
      </w:pPr>
      <w:r>
        <w:rPr>
          <w:b/>
          <w:sz w:val="52"/>
          <w:szCs w:val="52"/>
        </w:rPr>
        <w:t>Règles de régulation de l’offre du fromage Appellation d’Origine Protégée Abondance</w:t>
      </w:r>
    </w:p>
    <w:p w14:paraId="1EF7BF5F" w14:textId="77777777" w:rsidR="00685E04" w:rsidRDefault="00685E04">
      <w:pPr>
        <w:jc w:val="center"/>
        <w:rPr>
          <w:b/>
          <w:sz w:val="52"/>
          <w:szCs w:val="52"/>
        </w:rPr>
      </w:pPr>
    </w:p>
    <w:p w14:paraId="21756B45" w14:textId="77777777" w:rsidR="00685E04" w:rsidRDefault="00963ECD">
      <w:pPr>
        <w:jc w:val="center"/>
        <w:rPr>
          <w:b/>
          <w:sz w:val="52"/>
          <w:szCs w:val="52"/>
        </w:rPr>
      </w:pPr>
      <w:r>
        <w:rPr>
          <w:b/>
          <w:sz w:val="52"/>
          <w:szCs w:val="52"/>
        </w:rPr>
        <w:t>Campagnes 2019/2020 et 2020/2021</w:t>
      </w:r>
    </w:p>
    <w:p w14:paraId="30A0F2AF" w14:textId="77777777" w:rsidR="00685E04" w:rsidRDefault="00685E04">
      <w:pPr>
        <w:jc w:val="center"/>
        <w:rPr>
          <w:b/>
          <w:sz w:val="52"/>
          <w:szCs w:val="52"/>
        </w:rPr>
      </w:pPr>
    </w:p>
    <w:p w14:paraId="298AFB64" w14:textId="77777777" w:rsidR="00685E04" w:rsidRDefault="00685E04">
      <w:pPr>
        <w:jc w:val="center"/>
        <w:rPr>
          <w:b/>
          <w:sz w:val="52"/>
          <w:szCs w:val="52"/>
        </w:rPr>
      </w:pPr>
    </w:p>
    <w:p w14:paraId="53DB00AC" w14:textId="77777777" w:rsidR="00685E04" w:rsidRDefault="00685E04">
      <w:pPr>
        <w:jc w:val="center"/>
        <w:rPr>
          <w:b/>
          <w:sz w:val="52"/>
          <w:szCs w:val="52"/>
        </w:rPr>
      </w:pPr>
    </w:p>
    <w:p w14:paraId="13B59C0E" w14:textId="77777777" w:rsidR="00685E04" w:rsidRDefault="00685E04">
      <w:pPr>
        <w:jc w:val="center"/>
        <w:rPr>
          <w:b/>
          <w:sz w:val="52"/>
          <w:szCs w:val="52"/>
        </w:rPr>
      </w:pPr>
    </w:p>
    <w:p w14:paraId="39308932" w14:textId="77777777" w:rsidR="00685E04" w:rsidRDefault="00685E04">
      <w:pPr>
        <w:jc w:val="center"/>
        <w:rPr>
          <w:b/>
          <w:sz w:val="52"/>
          <w:szCs w:val="52"/>
        </w:rPr>
      </w:pPr>
    </w:p>
    <w:p w14:paraId="160C2147" w14:textId="77777777" w:rsidR="00685E04" w:rsidRDefault="00685E04">
      <w:pPr>
        <w:jc w:val="center"/>
        <w:rPr>
          <w:b/>
          <w:sz w:val="52"/>
          <w:szCs w:val="52"/>
        </w:rPr>
      </w:pPr>
    </w:p>
    <w:p w14:paraId="6A6559A9" w14:textId="77777777" w:rsidR="00685E04" w:rsidRDefault="00685E04">
      <w:pPr>
        <w:jc w:val="center"/>
        <w:rPr>
          <w:b/>
          <w:sz w:val="52"/>
          <w:szCs w:val="52"/>
        </w:rPr>
      </w:pPr>
    </w:p>
    <w:p w14:paraId="4D2DA36D" w14:textId="77777777" w:rsidR="00685E04" w:rsidRDefault="00963ECD">
      <w:pPr>
        <w:rPr>
          <w:sz w:val="22"/>
          <w:szCs w:val="22"/>
        </w:rPr>
      </w:pPr>
      <w:r>
        <w:rPr>
          <w:sz w:val="22"/>
          <w:szCs w:val="22"/>
        </w:rPr>
        <w:t>Syndicat Interprofessionnel du Fromage Abondance (SIFA)</w:t>
      </w:r>
    </w:p>
    <w:p w14:paraId="6AE3702D" w14:textId="77777777" w:rsidR="00685E04" w:rsidRDefault="00963ECD">
      <w:pPr>
        <w:rPr>
          <w:sz w:val="22"/>
          <w:szCs w:val="22"/>
        </w:rPr>
      </w:pPr>
      <w:r>
        <w:rPr>
          <w:sz w:val="22"/>
          <w:szCs w:val="22"/>
        </w:rPr>
        <w:t>16, chemin d’Hirmentaz</w:t>
      </w:r>
    </w:p>
    <w:p w14:paraId="3253578C" w14:textId="77777777" w:rsidR="00685E04" w:rsidRDefault="00963ECD">
      <w:pPr>
        <w:rPr>
          <w:sz w:val="22"/>
          <w:szCs w:val="22"/>
        </w:rPr>
      </w:pPr>
      <w:r>
        <w:rPr>
          <w:sz w:val="22"/>
          <w:szCs w:val="22"/>
        </w:rPr>
        <w:t>74200 THONON LES BAINS</w:t>
      </w:r>
    </w:p>
    <w:p w14:paraId="42527099" w14:textId="77777777" w:rsidR="00685E04" w:rsidRDefault="00963ECD">
      <w:r>
        <w:rPr>
          <w:sz w:val="22"/>
          <w:szCs w:val="22"/>
        </w:rPr>
        <w:t>Tel : 04 50 81 78 08</w:t>
      </w:r>
    </w:p>
    <w:p w14:paraId="6FB67625" w14:textId="77777777" w:rsidR="00685E04" w:rsidRDefault="00A01511">
      <w:hyperlink r:id="rId9">
        <w:r w:rsidR="00963ECD">
          <w:rPr>
            <w:rStyle w:val="LienInternet"/>
            <w:sz w:val="22"/>
            <w:szCs w:val="22"/>
          </w:rPr>
          <w:t>contact@fromageabondance.fr</w:t>
        </w:r>
      </w:hyperlink>
    </w:p>
    <w:p w14:paraId="45DF5E1B" w14:textId="77777777" w:rsidR="00685E04" w:rsidRDefault="00963ECD">
      <w:pPr>
        <w:rPr>
          <w:b/>
          <w:sz w:val="52"/>
          <w:szCs w:val="52"/>
        </w:rPr>
      </w:pPr>
      <w:r>
        <w:rPr>
          <w:sz w:val="22"/>
          <w:szCs w:val="22"/>
        </w:rPr>
        <w:t>www.fromageabondance.fr</w:t>
      </w:r>
    </w:p>
    <w:p w14:paraId="252A049B" w14:textId="77777777" w:rsidR="00685E04" w:rsidRDefault="00963ECD">
      <w:pPr>
        <w:jc w:val="center"/>
        <w:rPr>
          <w:b/>
        </w:rPr>
      </w:pPr>
      <w:r>
        <w:rPr>
          <w:b/>
          <w:sz w:val="52"/>
          <w:szCs w:val="52"/>
        </w:rPr>
        <w:lastRenderedPageBreak/>
        <w:t>SOMMAIRE</w:t>
      </w:r>
    </w:p>
    <w:p w14:paraId="57FF7D22" w14:textId="77777777" w:rsidR="00685E04" w:rsidRDefault="00685E04">
      <w:pPr>
        <w:jc w:val="center"/>
      </w:pPr>
    </w:p>
    <w:p w14:paraId="7F705E7C" w14:textId="77777777" w:rsidR="00685E04" w:rsidRDefault="00685E04"/>
    <w:p w14:paraId="14E5B2C9" w14:textId="77777777" w:rsidR="00685E04" w:rsidRDefault="00963ECD">
      <w:r>
        <w:t>GLOSSAIRE</w:t>
      </w:r>
      <w:r>
        <w:tab/>
      </w:r>
      <w:r>
        <w:tab/>
      </w:r>
      <w:r>
        <w:tab/>
      </w:r>
      <w:r>
        <w:tab/>
      </w:r>
      <w:r>
        <w:tab/>
      </w:r>
      <w:r>
        <w:tab/>
      </w:r>
      <w:r>
        <w:tab/>
      </w:r>
      <w:r>
        <w:tab/>
      </w:r>
      <w:r>
        <w:tab/>
      </w:r>
      <w:r>
        <w:tab/>
      </w:r>
      <w:r>
        <w:tab/>
      </w:r>
      <w:r>
        <w:tab/>
        <w:t xml:space="preserve"> 3</w:t>
      </w:r>
    </w:p>
    <w:p w14:paraId="4B0886AF" w14:textId="77777777" w:rsidR="00685E04" w:rsidRDefault="00685E04"/>
    <w:p w14:paraId="2123D439" w14:textId="77777777" w:rsidR="00685E04" w:rsidRDefault="00963ECD">
      <w:r>
        <w:rPr>
          <w:b/>
          <w:color w:val="000090"/>
        </w:rPr>
        <w:t>LES PRINCIPES DE LA RÉGULATION DE L’OFFRE</w:t>
      </w:r>
    </w:p>
    <w:p w14:paraId="270D59D0" w14:textId="1E879A2D" w:rsidR="002B6448" w:rsidRDefault="00963ECD">
      <w:pPr>
        <w:pStyle w:val="TM1"/>
        <w:tabs>
          <w:tab w:val="left" w:pos="480"/>
          <w:tab w:val="right" w:pos="9628"/>
        </w:tabs>
        <w:rPr>
          <w:rFonts w:asciiTheme="minorHAnsi" w:eastAsiaTheme="minorEastAsia" w:hAnsiTheme="minorHAnsi" w:cstheme="minorBidi"/>
          <w:noProof/>
          <w:color w:val="auto"/>
          <w:lang w:eastAsia="fr-FR"/>
        </w:rPr>
      </w:pPr>
      <w:r>
        <w:fldChar w:fldCharType="begin"/>
      </w:r>
      <w:r>
        <w:instrText>TOC \o "1-3" \h</w:instrText>
      </w:r>
      <w:r>
        <w:fldChar w:fldCharType="separate"/>
      </w:r>
      <w:hyperlink w:anchor="_Toc536180033" w:history="1">
        <w:r w:rsidR="002B6448" w:rsidRPr="00CA4340">
          <w:rPr>
            <w:rStyle w:val="Lienhypertexte"/>
            <w:noProof/>
          </w:rPr>
          <w:t>1</w:t>
        </w:r>
        <w:r w:rsidR="002B6448">
          <w:rPr>
            <w:rFonts w:asciiTheme="minorHAnsi" w:eastAsiaTheme="minorEastAsia" w:hAnsiTheme="minorHAnsi" w:cstheme="minorBidi"/>
            <w:noProof/>
            <w:color w:val="auto"/>
            <w:lang w:eastAsia="fr-FR"/>
          </w:rPr>
          <w:tab/>
        </w:r>
        <w:r w:rsidR="002B6448" w:rsidRPr="00CA4340">
          <w:rPr>
            <w:rStyle w:val="Lienhypertexte"/>
            <w:noProof/>
          </w:rPr>
          <w:t>Bilan des capacités de croissance</w:t>
        </w:r>
        <w:r w:rsidR="002B6448">
          <w:rPr>
            <w:noProof/>
          </w:rPr>
          <w:tab/>
        </w:r>
        <w:r w:rsidR="002B6448">
          <w:rPr>
            <w:noProof/>
          </w:rPr>
          <w:fldChar w:fldCharType="begin"/>
        </w:r>
        <w:r w:rsidR="002B6448">
          <w:rPr>
            <w:noProof/>
          </w:rPr>
          <w:instrText xml:space="preserve"> PAGEREF _Toc536180033 \h </w:instrText>
        </w:r>
        <w:r w:rsidR="002B6448">
          <w:rPr>
            <w:noProof/>
          </w:rPr>
        </w:r>
        <w:r w:rsidR="002B6448">
          <w:rPr>
            <w:noProof/>
          </w:rPr>
          <w:fldChar w:fldCharType="separate"/>
        </w:r>
        <w:r w:rsidR="002B6448">
          <w:rPr>
            <w:noProof/>
          </w:rPr>
          <w:t>5</w:t>
        </w:r>
        <w:r w:rsidR="002B6448">
          <w:rPr>
            <w:noProof/>
          </w:rPr>
          <w:fldChar w:fldCharType="end"/>
        </w:r>
      </w:hyperlink>
    </w:p>
    <w:p w14:paraId="463B3F34" w14:textId="09D752BB"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34" w:history="1">
        <w:r w:rsidR="002B6448" w:rsidRPr="00CA4340">
          <w:rPr>
            <w:rStyle w:val="Lienhypertexte"/>
            <w:noProof/>
          </w:rPr>
          <w:t>2</w:t>
        </w:r>
        <w:r w:rsidR="002B6448">
          <w:rPr>
            <w:rFonts w:asciiTheme="minorHAnsi" w:eastAsiaTheme="minorEastAsia" w:hAnsiTheme="minorHAnsi" w:cstheme="minorBidi"/>
            <w:noProof/>
            <w:color w:val="auto"/>
            <w:lang w:eastAsia="fr-FR"/>
          </w:rPr>
          <w:tab/>
        </w:r>
        <w:r w:rsidR="002B6448" w:rsidRPr="00CA4340">
          <w:rPr>
            <w:rStyle w:val="Lienhypertexte"/>
            <w:noProof/>
          </w:rPr>
          <w:t>Détermination de la référence de base</w:t>
        </w:r>
        <w:r w:rsidR="002B6448">
          <w:rPr>
            <w:noProof/>
          </w:rPr>
          <w:tab/>
        </w:r>
        <w:r w:rsidR="002B6448">
          <w:rPr>
            <w:noProof/>
          </w:rPr>
          <w:fldChar w:fldCharType="begin"/>
        </w:r>
        <w:r w:rsidR="002B6448">
          <w:rPr>
            <w:noProof/>
          </w:rPr>
          <w:instrText xml:space="preserve"> PAGEREF _Toc536180034 \h </w:instrText>
        </w:r>
        <w:r w:rsidR="002B6448">
          <w:rPr>
            <w:noProof/>
          </w:rPr>
        </w:r>
        <w:r w:rsidR="002B6448">
          <w:rPr>
            <w:noProof/>
          </w:rPr>
          <w:fldChar w:fldCharType="separate"/>
        </w:r>
        <w:r w:rsidR="002B6448">
          <w:rPr>
            <w:noProof/>
          </w:rPr>
          <w:t>6</w:t>
        </w:r>
        <w:r w:rsidR="002B6448">
          <w:rPr>
            <w:noProof/>
          </w:rPr>
          <w:fldChar w:fldCharType="end"/>
        </w:r>
      </w:hyperlink>
    </w:p>
    <w:p w14:paraId="69F48208" w14:textId="15A4EF97"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35" w:history="1">
        <w:r w:rsidR="002B6448" w:rsidRPr="00CA4340">
          <w:rPr>
            <w:rStyle w:val="Lienhypertexte"/>
            <w:noProof/>
          </w:rPr>
          <w:t>3</w:t>
        </w:r>
        <w:r w:rsidR="002B6448">
          <w:rPr>
            <w:rFonts w:asciiTheme="minorHAnsi" w:eastAsiaTheme="minorEastAsia" w:hAnsiTheme="minorHAnsi" w:cstheme="minorBidi"/>
            <w:noProof/>
            <w:color w:val="auto"/>
            <w:lang w:eastAsia="fr-FR"/>
          </w:rPr>
          <w:tab/>
        </w:r>
        <w:r w:rsidR="002B6448" w:rsidRPr="00CA4340">
          <w:rPr>
            <w:rStyle w:val="Lienhypertexte"/>
            <w:noProof/>
          </w:rPr>
          <w:t>Règles de détermination du taux additionnel de croissance pour les ateliers en place sur la campagne N-1</w:t>
        </w:r>
        <w:r w:rsidR="002B6448">
          <w:rPr>
            <w:noProof/>
          </w:rPr>
          <w:tab/>
        </w:r>
        <w:r w:rsidR="002B6448">
          <w:rPr>
            <w:noProof/>
          </w:rPr>
          <w:fldChar w:fldCharType="begin"/>
        </w:r>
        <w:r w:rsidR="002B6448">
          <w:rPr>
            <w:noProof/>
          </w:rPr>
          <w:instrText xml:space="preserve"> PAGEREF _Toc536180035 \h </w:instrText>
        </w:r>
        <w:r w:rsidR="002B6448">
          <w:rPr>
            <w:noProof/>
          </w:rPr>
        </w:r>
        <w:r w:rsidR="002B6448">
          <w:rPr>
            <w:noProof/>
          </w:rPr>
          <w:fldChar w:fldCharType="separate"/>
        </w:r>
        <w:r w:rsidR="002B6448">
          <w:rPr>
            <w:noProof/>
          </w:rPr>
          <w:t>7</w:t>
        </w:r>
        <w:r w:rsidR="002B6448">
          <w:rPr>
            <w:noProof/>
          </w:rPr>
          <w:fldChar w:fldCharType="end"/>
        </w:r>
      </w:hyperlink>
    </w:p>
    <w:p w14:paraId="642D6C6F" w14:textId="26A13670"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36" w:history="1">
        <w:r w:rsidR="002B6448" w:rsidRPr="00CA4340">
          <w:rPr>
            <w:rStyle w:val="Lienhypertexte"/>
            <w:noProof/>
          </w:rPr>
          <w:t>3.1</w:t>
        </w:r>
        <w:r w:rsidR="002B6448">
          <w:rPr>
            <w:rFonts w:asciiTheme="minorHAnsi" w:eastAsiaTheme="minorEastAsia" w:hAnsiTheme="minorHAnsi" w:cstheme="minorBidi"/>
            <w:noProof/>
            <w:color w:val="auto"/>
            <w:lang w:eastAsia="fr-FR"/>
          </w:rPr>
          <w:tab/>
        </w:r>
        <w:r w:rsidR="002B6448" w:rsidRPr="00CA4340">
          <w:rPr>
            <w:rStyle w:val="Lienhypertexte"/>
            <w:noProof/>
          </w:rPr>
          <w:t>Détermination du taux additionnel de croissance</w:t>
        </w:r>
        <w:r w:rsidR="002B6448">
          <w:rPr>
            <w:noProof/>
          </w:rPr>
          <w:tab/>
        </w:r>
        <w:r w:rsidR="002B6448">
          <w:rPr>
            <w:noProof/>
          </w:rPr>
          <w:fldChar w:fldCharType="begin"/>
        </w:r>
        <w:r w:rsidR="002B6448">
          <w:rPr>
            <w:noProof/>
          </w:rPr>
          <w:instrText xml:space="preserve"> PAGEREF _Toc536180036 \h </w:instrText>
        </w:r>
        <w:r w:rsidR="002B6448">
          <w:rPr>
            <w:noProof/>
          </w:rPr>
        </w:r>
        <w:r w:rsidR="002B6448">
          <w:rPr>
            <w:noProof/>
          </w:rPr>
          <w:fldChar w:fldCharType="separate"/>
        </w:r>
        <w:r w:rsidR="002B6448">
          <w:rPr>
            <w:noProof/>
          </w:rPr>
          <w:t>7</w:t>
        </w:r>
        <w:r w:rsidR="002B6448">
          <w:rPr>
            <w:noProof/>
          </w:rPr>
          <w:fldChar w:fldCharType="end"/>
        </w:r>
      </w:hyperlink>
    </w:p>
    <w:p w14:paraId="3DA5BE02" w14:textId="7210D647"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37" w:history="1">
        <w:r w:rsidR="002B6448" w:rsidRPr="00CA4340">
          <w:rPr>
            <w:rStyle w:val="Lienhypertexte"/>
            <w:noProof/>
          </w:rPr>
          <w:t>3.2</w:t>
        </w:r>
        <w:r w:rsidR="002B6448">
          <w:rPr>
            <w:rFonts w:asciiTheme="minorHAnsi" w:eastAsiaTheme="minorEastAsia" w:hAnsiTheme="minorHAnsi" w:cstheme="minorBidi"/>
            <w:noProof/>
            <w:color w:val="auto"/>
            <w:lang w:eastAsia="fr-FR"/>
          </w:rPr>
          <w:tab/>
        </w:r>
        <w:r w:rsidR="002B6448" w:rsidRPr="00CA4340">
          <w:rPr>
            <w:rStyle w:val="Lienhypertexte"/>
            <w:noProof/>
          </w:rPr>
          <w:t>Détermination de l’ajustement à mi-campagne pour les ateliers en place sur l’année N-1</w:t>
        </w:r>
        <w:r w:rsidR="002B6448">
          <w:rPr>
            <w:noProof/>
          </w:rPr>
          <w:tab/>
        </w:r>
        <w:r w:rsidR="002B6448">
          <w:rPr>
            <w:noProof/>
          </w:rPr>
          <w:fldChar w:fldCharType="begin"/>
        </w:r>
        <w:r w:rsidR="002B6448">
          <w:rPr>
            <w:noProof/>
          </w:rPr>
          <w:instrText xml:space="preserve"> PAGEREF _Toc536180037 \h </w:instrText>
        </w:r>
        <w:r w:rsidR="002B6448">
          <w:rPr>
            <w:noProof/>
          </w:rPr>
        </w:r>
        <w:r w:rsidR="002B6448">
          <w:rPr>
            <w:noProof/>
          </w:rPr>
          <w:fldChar w:fldCharType="separate"/>
        </w:r>
        <w:r w:rsidR="002B6448">
          <w:rPr>
            <w:noProof/>
          </w:rPr>
          <w:t>7</w:t>
        </w:r>
        <w:r w:rsidR="002B6448">
          <w:rPr>
            <w:noProof/>
          </w:rPr>
          <w:fldChar w:fldCharType="end"/>
        </w:r>
      </w:hyperlink>
    </w:p>
    <w:p w14:paraId="1A772AD8" w14:textId="62714988"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38" w:history="1">
        <w:r w:rsidR="002B6448" w:rsidRPr="00CA4340">
          <w:rPr>
            <w:rStyle w:val="Lienhypertexte"/>
            <w:noProof/>
          </w:rPr>
          <w:t>4</w:t>
        </w:r>
        <w:r w:rsidR="002B6448">
          <w:rPr>
            <w:rFonts w:asciiTheme="minorHAnsi" w:eastAsiaTheme="minorEastAsia" w:hAnsiTheme="minorHAnsi" w:cstheme="minorBidi"/>
            <w:noProof/>
            <w:color w:val="auto"/>
            <w:lang w:eastAsia="fr-FR"/>
          </w:rPr>
          <w:tab/>
        </w:r>
        <w:r w:rsidR="002B6448" w:rsidRPr="00CA4340">
          <w:rPr>
            <w:rStyle w:val="Lienhypertexte"/>
            <w:noProof/>
          </w:rPr>
          <w:t>Règles de détermination de l’ouverture</w:t>
        </w:r>
        <w:r w:rsidR="002B6448">
          <w:rPr>
            <w:noProof/>
          </w:rPr>
          <w:tab/>
        </w:r>
        <w:r w:rsidR="002B6448">
          <w:rPr>
            <w:noProof/>
          </w:rPr>
          <w:fldChar w:fldCharType="begin"/>
        </w:r>
        <w:r w:rsidR="002B6448">
          <w:rPr>
            <w:noProof/>
          </w:rPr>
          <w:instrText xml:space="preserve"> PAGEREF _Toc536180038 \h </w:instrText>
        </w:r>
        <w:r w:rsidR="002B6448">
          <w:rPr>
            <w:noProof/>
          </w:rPr>
        </w:r>
        <w:r w:rsidR="002B6448">
          <w:rPr>
            <w:noProof/>
          </w:rPr>
          <w:fldChar w:fldCharType="separate"/>
        </w:r>
        <w:r w:rsidR="002B6448">
          <w:rPr>
            <w:noProof/>
          </w:rPr>
          <w:t>8</w:t>
        </w:r>
        <w:r w:rsidR="002B6448">
          <w:rPr>
            <w:noProof/>
          </w:rPr>
          <w:fldChar w:fldCharType="end"/>
        </w:r>
      </w:hyperlink>
    </w:p>
    <w:p w14:paraId="68B36B52" w14:textId="31926BC2"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39" w:history="1">
        <w:r w:rsidR="002B6448" w:rsidRPr="00CA4340">
          <w:rPr>
            <w:rStyle w:val="Lienhypertexte"/>
            <w:noProof/>
          </w:rPr>
          <w:t>4.1</w:t>
        </w:r>
        <w:r w:rsidR="002B6448">
          <w:rPr>
            <w:rFonts w:asciiTheme="minorHAnsi" w:eastAsiaTheme="minorEastAsia" w:hAnsiTheme="minorHAnsi" w:cstheme="minorBidi"/>
            <w:noProof/>
            <w:color w:val="auto"/>
            <w:lang w:eastAsia="fr-FR"/>
          </w:rPr>
          <w:tab/>
        </w:r>
        <w:r w:rsidR="002B6448" w:rsidRPr="00CA4340">
          <w:rPr>
            <w:rStyle w:val="Lienhypertexte"/>
            <w:noProof/>
          </w:rPr>
          <w:t>Ouverture pour les nouveaux ateliers</w:t>
        </w:r>
        <w:r w:rsidR="002B6448">
          <w:rPr>
            <w:noProof/>
          </w:rPr>
          <w:tab/>
        </w:r>
        <w:r w:rsidR="002B6448">
          <w:rPr>
            <w:noProof/>
          </w:rPr>
          <w:fldChar w:fldCharType="begin"/>
        </w:r>
        <w:r w:rsidR="002B6448">
          <w:rPr>
            <w:noProof/>
          </w:rPr>
          <w:instrText xml:space="preserve"> PAGEREF _Toc536180039 \h </w:instrText>
        </w:r>
        <w:r w:rsidR="002B6448">
          <w:rPr>
            <w:noProof/>
          </w:rPr>
        </w:r>
        <w:r w:rsidR="002B6448">
          <w:rPr>
            <w:noProof/>
          </w:rPr>
          <w:fldChar w:fldCharType="separate"/>
        </w:r>
        <w:r w:rsidR="002B6448">
          <w:rPr>
            <w:noProof/>
          </w:rPr>
          <w:t>8</w:t>
        </w:r>
        <w:r w:rsidR="002B6448">
          <w:rPr>
            <w:noProof/>
          </w:rPr>
          <w:fldChar w:fldCharType="end"/>
        </w:r>
      </w:hyperlink>
    </w:p>
    <w:p w14:paraId="4629143C" w14:textId="012D5BBD"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40" w:history="1">
        <w:r w:rsidR="002B6448" w:rsidRPr="00CA4340">
          <w:rPr>
            <w:rStyle w:val="Lienhypertexte"/>
            <w:noProof/>
          </w:rPr>
          <w:t>4.2</w:t>
        </w:r>
        <w:r w:rsidR="002B6448">
          <w:rPr>
            <w:rFonts w:asciiTheme="minorHAnsi" w:eastAsiaTheme="minorEastAsia" w:hAnsiTheme="minorHAnsi" w:cstheme="minorBidi"/>
            <w:noProof/>
            <w:color w:val="auto"/>
            <w:lang w:eastAsia="fr-FR"/>
          </w:rPr>
          <w:tab/>
        </w:r>
        <w:r w:rsidR="002B6448" w:rsidRPr="00CA4340">
          <w:rPr>
            <w:rStyle w:val="Lienhypertexte"/>
            <w:noProof/>
          </w:rPr>
          <w:t>Ouverture pour les opérateurs en place sur la campagne N-1</w:t>
        </w:r>
        <w:r w:rsidR="002B6448">
          <w:rPr>
            <w:noProof/>
          </w:rPr>
          <w:tab/>
        </w:r>
        <w:r w:rsidR="002B6448">
          <w:rPr>
            <w:noProof/>
          </w:rPr>
          <w:fldChar w:fldCharType="begin"/>
        </w:r>
        <w:r w:rsidR="002B6448">
          <w:rPr>
            <w:noProof/>
          </w:rPr>
          <w:instrText xml:space="preserve"> PAGEREF _Toc536180040 \h </w:instrText>
        </w:r>
        <w:r w:rsidR="002B6448">
          <w:rPr>
            <w:noProof/>
          </w:rPr>
        </w:r>
        <w:r w:rsidR="002B6448">
          <w:rPr>
            <w:noProof/>
          </w:rPr>
          <w:fldChar w:fldCharType="separate"/>
        </w:r>
        <w:r w:rsidR="002B6448">
          <w:rPr>
            <w:noProof/>
          </w:rPr>
          <w:t>9</w:t>
        </w:r>
        <w:r w:rsidR="002B6448">
          <w:rPr>
            <w:noProof/>
          </w:rPr>
          <w:fldChar w:fldCharType="end"/>
        </w:r>
      </w:hyperlink>
    </w:p>
    <w:p w14:paraId="30FA2DC5" w14:textId="4BE54F45"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41" w:history="1">
        <w:r w:rsidR="002B6448" w:rsidRPr="00CA4340">
          <w:rPr>
            <w:rStyle w:val="Lienhypertexte"/>
            <w:noProof/>
          </w:rPr>
          <w:t>5</w:t>
        </w:r>
        <w:r w:rsidR="002B6448">
          <w:rPr>
            <w:rFonts w:asciiTheme="minorHAnsi" w:eastAsiaTheme="minorEastAsia" w:hAnsiTheme="minorHAnsi" w:cstheme="minorBidi"/>
            <w:noProof/>
            <w:color w:val="auto"/>
            <w:lang w:eastAsia="fr-FR"/>
          </w:rPr>
          <w:tab/>
        </w:r>
        <w:r w:rsidR="002B6448" w:rsidRPr="00CA4340">
          <w:rPr>
            <w:rStyle w:val="Lienhypertexte"/>
            <w:noProof/>
            <w:shd w:val="clear" w:color="auto" w:fill="FFFFFF"/>
          </w:rPr>
          <w:t>Transferts de référence</w:t>
        </w:r>
        <w:r w:rsidR="002B6448">
          <w:rPr>
            <w:noProof/>
          </w:rPr>
          <w:tab/>
        </w:r>
        <w:r w:rsidR="002B6448">
          <w:rPr>
            <w:noProof/>
          </w:rPr>
          <w:fldChar w:fldCharType="begin"/>
        </w:r>
        <w:r w:rsidR="002B6448">
          <w:rPr>
            <w:noProof/>
          </w:rPr>
          <w:instrText xml:space="preserve"> PAGEREF _Toc536180041 \h </w:instrText>
        </w:r>
        <w:r w:rsidR="002B6448">
          <w:rPr>
            <w:noProof/>
          </w:rPr>
        </w:r>
        <w:r w:rsidR="002B6448">
          <w:rPr>
            <w:noProof/>
          </w:rPr>
          <w:fldChar w:fldCharType="separate"/>
        </w:r>
        <w:r w:rsidR="002B6448">
          <w:rPr>
            <w:noProof/>
          </w:rPr>
          <w:t>10</w:t>
        </w:r>
        <w:r w:rsidR="002B6448">
          <w:rPr>
            <w:noProof/>
          </w:rPr>
          <w:fldChar w:fldCharType="end"/>
        </w:r>
      </w:hyperlink>
    </w:p>
    <w:p w14:paraId="08BAAE98" w14:textId="4FBED704"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42" w:history="1">
        <w:r w:rsidR="002B6448" w:rsidRPr="00CA4340">
          <w:rPr>
            <w:rStyle w:val="Lienhypertexte"/>
            <w:noProof/>
          </w:rPr>
          <w:t>6</w:t>
        </w:r>
        <w:r w:rsidR="002B6448">
          <w:rPr>
            <w:rFonts w:asciiTheme="minorHAnsi" w:eastAsiaTheme="minorEastAsia" w:hAnsiTheme="minorHAnsi" w:cstheme="minorBidi"/>
            <w:noProof/>
            <w:color w:val="auto"/>
            <w:lang w:eastAsia="fr-FR"/>
          </w:rPr>
          <w:tab/>
        </w:r>
        <w:r w:rsidR="002B6448" w:rsidRPr="00CA4340">
          <w:rPr>
            <w:rStyle w:val="Lienhypertexte"/>
            <w:noProof/>
          </w:rPr>
          <w:t>Montant des sur-cotisations</w:t>
        </w:r>
        <w:r w:rsidR="002B6448">
          <w:rPr>
            <w:noProof/>
          </w:rPr>
          <w:tab/>
        </w:r>
        <w:r w:rsidR="002B6448">
          <w:rPr>
            <w:noProof/>
          </w:rPr>
          <w:fldChar w:fldCharType="begin"/>
        </w:r>
        <w:r w:rsidR="002B6448">
          <w:rPr>
            <w:noProof/>
          </w:rPr>
          <w:instrText xml:space="preserve"> PAGEREF _Toc536180042 \h </w:instrText>
        </w:r>
        <w:r w:rsidR="002B6448">
          <w:rPr>
            <w:noProof/>
          </w:rPr>
        </w:r>
        <w:r w:rsidR="002B6448">
          <w:rPr>
            <w:noProof/>
          </w:rPr>
          <w:fldChar w:fldCharType="separate"/>
        </w:r>
        <w:r w:rsidR="002B6448">
          <w:rPr>
            <w:noProof/>
          </w:rPr>
          <w:t>10</w:t>
        </w:r>
        <w:r w:rsidR="002B6448">
          <w:rPr>
            <w:noProof/>
          </w:rPr>
          <w:fldChar w:fldCharType="end"/>
        </w:r>
      </w:hyperlink>
    </w:p>
    <w:p w14:paraId="7CC8B064" w14:textId="05FBF4C6"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43" w:history="1">
        <w:r w:rsidR="002B6448" w:rsidRPr="00CA4340">
          <w:rPr>
            <w:rStyle w:val="Lienhypertexte"/>
            <w:noProof/>
          </w:rPr>
          <w:t>6.1</w:t>
        </w:r>
        <w:r w:rsidR="002B6448">
          <w:rPr>
            <w:rFonts w:asciiTheme="minorHAnsi" w:eastAsiaTheme="minorEastAsia" w:hAnsiTheme="minorHAnsi" w:cstheme="minorBidi"/>
            <w:noProof/>
            <w:color w:val="auto"/>
            <w:lang w:eastAsia="fr-FR"/>
          </w:rPr>
          <w:tab/>
        </w:r>
        <w:r w:rsidR="002B6448" w:rsidRPr="00CA4340">
          <w:rPr>
            <w:rStyle w:val="Lienhypertexte"/>
            <w:noProof/>
          </w:rPr>
          <w:t>Sur-cotisations pour les ateliers existants</w:t>
        </w:r>
        <w:r w:rsidR="002B6448">
          <w:rPr>
            <w:noProof/>
          </w:rPr>
          <w:tab/>
        </w:r>
        <w:r w:rsidR="002B6448">
          <w:rPr>
            <w:noProof/>
          </w:rPr>
          <w:fldChar w:fldCharType="begin"/>
        </w:r>
        <w:r w:rsidR="002B6448">
          <w:rPr>
            <w:noProof/>
          </w:rPr>
          <w:instrText xml:space="preserve"> PAGEREF _Toc536180043 \h </w:instrText>
        </w:r>
        <w:r w:rsidR="002B6448">
          <w:rPr>
            <w:noProof/>
          </w:rPr>
        </w:r>
        <w:r w:rsidR="002B6448">
          <w:rPr>
            <w:noProof/>
          </w:rPr>
          <w:fldChar w:fldCharType="separate"/>
        </w:r>
        <w:r w:rsidR="002B6448">
          <w:rPr>
            <w:noProof/>
          </w:rPr>
          <w:t>11</w:t>
        </w:r>
        <w:r w:rsidR="002B6448">
          <w:rPr>
            <w:noProof/>
          </w:rPr>
          <w:fldChar w:fldCharType="end"/>
        </w:r>
      </w:hyperlink>
    </w:p>
    <w:p w14:paraId="3A23EEDB" w14:textId="5325D230"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44" w:history="1">
        <w:r w:rsidR="002B6448" w:rsidRPr="00CA4340">
          <w:rPr>
            <w:rStyle w:val="Lienhypertexte"/>
            <w:noProof/>
          </w:rPr>
          <w:t>6.2</w:t>
        </w:r>
        <w:r w:rsidR="002B6448">
          <w:rPr>
            <w:rFonts w:asciiTheme="minorHAnsi" w:eastAsiaTheme="minorEastAsia" w:hAnsiTheme="minorHAnsi" w:cstheme="minorBidi"/>
            <w:noProof/>
            <w:color w:val="auto"/>
            <w:lang w:eastAsia="fr-FR"/>
          </w:rPr>
          <w:tab/>
        </w:r>
        <w:r w:rsidR="002B6448" w:rsidRPr="00CA4340">
          <w:rPr>
            <w:rStyle w:val="Lienhypertexte"/>
            <w:noProof/>
          </w:rPr>
          <w:t>Sur-cotisations pour les nouveaux ateliers</w:t>
        </w:r>
        <w:r w:rsidR="002B6448">
          <w:rPr>
            <w:noProof/>
          </w:rPr>
          <w:tab/>
        </w:r>
        <w:r w:rsidR="002B6448">
          <w:rPr>
            <w:noProof/>
          </w:rPr>
          <w:fldChar w:fldCharType="begin"/>
        </w:r>
        <w:r w:rsidR="002B6448">
          <w:rPr>
            <w:noProof/>
          </w:rPr>
          <w:instrText xml:space="preserve"> PAGEREF _Toc536180044 \h </w:instrText>
        </w:r>
        <w:r w:rsidR="002B6448">
          <w:rPr>
            <w:noProof/>
          </w:rPr>
        </w:r>
        <w:r w:rsidR="002B6448">
          <w:rPr>
            <w:noProof/>
          </w:rPr>
          <w:fldChar w:fldCharType="separate"/>
        </w:r>
        <w:r w:rsidR="002B6448">
          <w:rPr>
            <w:noProof/>
          </w:rPr>
          <w:t>11</w:t>
        </w:r>
        <w:r w:rsidR="002B6448">
          <w:rPr>
            <w:noProof/>
          </w:rPr>
          <w:fldChar w:fldCharType="end"/>
        </w:r>
      </w:hyperlink>
    </w:p>
    <w:p w14:paraId="0F8F0B39" w14:textId="61E255C8"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45" w:history="1">
        <w:r w:rsidR="002B6448" w:rsidRPr="00CA4340">
          <w:rPr>
            <w:rStyle w:val="Lienhypertexte"/>
            <w:noProof/>
          </w:rPr>
          <w:t>7</w:t>
        </w:r>
        <w:r w:rsidR="002B6448">
          <w:rPr>
            <w:rFonts w:asciiTheme="minorHAnsi" w:eastAsiaTheme="minorEastAsia" w:hAnsiTheme="minorHAnsi" w:cstheme="minorBidi"/>
            <w:noProof/>
            <w:color w:val="auto"/>
            <w:lang w:eastAsia="fr-FR"/>
          </w:rPr>
          <w:tab/>
        </w:r>
        <w:r w:rsidR="002B6448" w:rsidRPr="00CA4340">
          <w:rPr>
            <w:rStyle w:val="Lienhypertexte"/>
            <w:noProof/>
          </w:rPr>
          <w:t>Mécanisme de remboursement de la sur-cotisation</w:t>
        </w:r>
        <w:r w:rsidR="002B6448">
          <w:rPr>
            <w:noProof/>
          </w:rPr>
          <w:tab/>
        </w:r>
        <w:r w:rsidR="002B6448">
          <w:rPr>
            <w:noProof/>
          </w:rPr>
          <w:fldChar w:fldCharType="begin"/>
        </w:r>
        <w:r w:rsidR="002B6448">
          <w:rPr>
            <w:noProof/>
          </w:rPr>
          <w:instrText xml:space="preserve"> PAGEREF _Toc536180045 \h </w:instrText>
        </w:r>
        <w:r w:rsidR="002B6448">
          <w:rPr>
            <w:noProof/>
          </w:rPr>
        </w:r>
        <w:r w:rsidR="002B6448">
          <w:rPr>
            <w:noProof/>
          </w:rPr>
          <w:fldChar w:fldCharType="separate"/>
        </w:r>
        <w:r w:rsidR="002B6448">
          <w:rPr>
            <w:noProof/>
          </w:rPr>
          <w:t>11</w:t>
        </w:r>
        <w:r w:rsidR="002B6448">
          <w:rPr>
            <w:noProof/>
          </w:rPr>
          <w:fldChar w:fldCharType="end"/>
        </w:r>
      </w:hyperlink>
    </w:p>
    <w:p w14:paraId="7DAE3E01" w14:textId="0F849ADF"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46" w:history="1">
        <w:r w:rsidR="002B6448" w:rsidRPr="00CA4340">
          <w:rPr>
            <w:rStyle w:val="Lienhypertexte"/>
            <w:noProof/>
          </w:rPr>
          <w:t>7.1</w:t>
        </w:r>
        <w:r w:rsidR="002B6448">
          <w:rPr>
            <w:rFonts w:asciiTheme="minorHAnsi" w:eastAsiaTheme="minorEastAsia" w:hAnsiTheme="minorHAnsi" w:cstheme="minorBidi"/>
            <w:noProof/>
            <w:color w:val="auto"/>
            <w:lang w:eastAsia="fr-FR"/>
          </w:rPr>
          <w:tab/>
        </w:r>
        <w:r w:rsidR="002B6448" w:rsidRPr="00CA4340">
          <w:rPr>
            <w:rStyle w:val="Lienhypertexte"/>
            <w:noProof/>
          </w:rPr>
          <w:t>Prise en compte de la création de nouveaux marchés</w:t>
        </w:r>
        <w:r w:rsidR="002B6448">
          <w:rPr>
            <w:noProof/>
          </w:rPr>
          <w:tab/>
        </w:r>
        <w:r w:rsidR="002B6448">
          <w:rPr>
            <w:noProof/>
          </w:rPr>
          <w:fldChar w:fldCharType="begin"/>
        </w:r>
        <w:r w:rsidR="002B6448">
          <w:rPr>
            <w:noProof/>
          </w:rPr>
          <w:instrText xml:space="preserve"> PAGEREF _Toc536180046 \h </w:instrText>
        </w:r>
        <w:r w:rsidR="002B6448">
          <w:rPr>
            <w:noProof/>
          </w:rPr>
        </w:r>
        <w:r w:rsidR="002B6448">
          <w:rPr>
            <w:noProof/>
          </w:rPr>
          <w:fldChar w:fldCharType="separate"/>
        </w:r>
        <w:r w:rsidR="002B6448">
          <w:rPr>
            <w:noProof/>
          </w:rPr>
          <w:t>11</w:t>
        </w:r>
        <w:r w:rsidR="002B6448">
          <w:rPr>
            <w:noProof/>
          </w:rPr>
          <w:fldChar w:fldCharType="end"/>
        </w:r>
      </w:hyperlink>
    </w:p>
    <w:p w14:paraId="208DA453" w14:textId="41C3664B"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47" w:history="1">
        <w:r w:rsidR="002B6448" w:rsidRPr="00CA4340">
          <w:rPr>
            <w:rStyle w:val="Lienhypertexte"/>
            <w:noProof/>
          </w:rPr>
          <w:t>7.2</w:t>
        </w:r>
        <w:r w:rsidR="002B6448">
          <w:rPr>
            <w:rFonts w:asciiTheme="minorHAnsi" w:eastAsiaTheme="minorEastAsia" w:hAnsiTheme="minorHAnsi" w:cstheme="minorBidi"/>
            <w:noProof/>
            <w:color w:val="auto"/>
            <w:lang w:eastAsia="fr-FR"/>
          </w:rPr>
          <w:tab/>
        </w:r>
        <w:r w:rsidR="002B6448" w:rsidRPr="00CA4340">
          <w:rPr>
            <w:rStyle w:val="Lienhypertexte"/>
            <w:noProof/>
          </w:rPr>
          <w:t>Prise en compte des accidents de fabrication</w:t>
        </w:r>
        <w:r w:rsidR="002B6448">
          <w:rPr>
            <w:noProof/>
          </w:rPr>
          <w:tab/>
        </w:r>
        <w:r w:rsidR="002B6448">
          <w:rPr>
            <w:noProof/>
          </w:rPr>
          <w:fldChar w:fldCharType="begin"/>
        </w:r>
        <w:r w:rsidR="002B6448">
          <w:rPr>
            <w:noProof/>
          </w:rPr>
          <w:instrText xml:space="preserve"> PAGEREF _Toc536180047 \h </w:instrText>
        </w:r>
        <w:r w:rsidR="002B6448">
          <w:rPr>
            <w:noProof/>
          </w:rPr>
        </w:r>
        <w:r w:rsidR="002B6448">
          <w:rPr>
            <w:noProof/>
          </w:rPr>
          <w:fldChar w:fldCharType="separate"/>
        </w:r>
        <w:r w:rsidR="002B6448">
          <w:rPr>
            <w:noProof/>
          </w:rPr>
          <w:t>12</w:t>
        </w:r>
        <w:r w:rsidR="002B6448">
          <w:rPr>
            <w:noProof/>
          </w:rPr>
          <w:fldChar w:fldCharType="end"/>
        </w:r>
      </w:hyperlink>
    </w:p>
    <w:p w14:paraId="74E5D6A5" w14:textId="085C8CC0" w:rsidR="002B6448" w:rsidRDefault="00A01511">
      <w:pPr>
        <w:pStyle w:val="TM1"/>
        <w:tabs>
          <w:tab w:val="left" w:pos="480"/>
          <w:tab w:val="right" w:pos="9628"/>
        </w:tabs>
        <w:rPr>
          <w:rStyle w:val="Lienhypertexte"/>
          <w:noProof/>
        </w:rPr>
      </w:pPr>
      <w:hyperlink w:anchor="_Toc536180048" w:history="1">
        <w:r w:rsidR="002B6448" w:rsidRPr="00CA4340">
          <w:rPr>
            <w:rStyle w:val="Lienhypertexte"/>
            <w:noProof/>
          </w:rPr>
          <w:t>8</w:t>
        </w:r>
        <w:r w:rsidR="002B6448">
          <w:rPr>
            <w:rFonts w:asciiTheme="minorHAnsi" w:eastAsiaTheme="minorEastAsia" w:hAnsiTheme="minorHAnsi" w:cstheme="minorBidi"/>
            <w:noProof/>
            <w:color w:val="auto"/>
            <w:lang w:eastAsia="fr-FR"/>
          </w:rPr>
          <w:tab/>
        </w:r>
        <w:r w:rsidR="002B6448" w:rsidRPr="00CA4340">
          <w:rPr>
            <w:rStyle w:val="Lienhypertexte"/>
            <w:noProof/>
          </w:rPr>
          <w:t>Commission de conciliation et de gestion</w:t>
        </w:r>
        <w:r w:rsidR="002B6448">
          <w:rPr>
            <w:noProof/>
          </w:rPr>
          <w:tab/>
        </w:r>
        <w:r w:rsidR="002B6448">
          <w:rPr>
            <w:noProof/>
          </w:rPr>
          <w:fldChar w:fldCharType="begin"/>
        </w:r>
        <w:r w:rsidR="002B6448">
          <w:rPr>
            <w:noProof/>
          </w:rPr>
          <w:instrText xml:space="preserve"> PAGEREF _Toc536180048 \h </w:instrText>
        </w:r>
        <w:r w:rsidR="002B6448">
          <w:rPr>
            <w:noProof/>
          </w:rPr>
        </w:r>
        <w:r w:rsidR="002B6448">
          <w:rPr>
            <w:noProof/>
          </w:rPr>
          <w:fldChar w:fldCharType="separate"/>
        </w:r>
        <w:r w:rsidR="002B6448">
          <w:rPr>
            <w:noProof/>
          </w:rPr>
          <w:t>12</w:t>
        </w:r>
        <w:r w:rsidR="002B6448">
          <w:rPr>
            <w:noProof/>
          </w:rPr>
          <w:fldChar w:fldCharType="end"/>
        </w:r>
      </w:hyperlink>
    </w:p>
    <w:p w14:paraId="61904BB5" w14:textId="5AFFF31A" w:rsidR="002B6448" w:rsidRPr="002B6448" w:rsidRDefault="002B6448" w:rsidP="002B6448">
      <w:pPr>
        <w:jc w:val="both"/>
        <w:rPr>
          <w:lang w:eastAsia="fr-FR"/>
        </w:rPr>
      </w:pPr>
      <w:r>
        <w:rPr>
          <w:b/>
          <w:color w:val="000090"/>
        </w:rPr>
        <w:t>LES MODALITÉS DE L'ACCORD DE RÉGULATION DE L'OFFRE POUR LES CAMPAGNES 2019 / 2020 ET 2020/2021</w:t>
      </w:r>
    </w:p>
    <w:p w14:paraId="3068779F" w14:textId="5E78F21D"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49" w:history="1">
        <w:r w:rsidR="002B6448" w:rsidRPr="00CA4340">
          <w:rPr>
            <w:rStyle w:val="Lienhypertexte"/>
            <w:noProof/>
          </w:rPr>
          <w:t>1</w:t>
        </w:r>
        <w:r w:rsidR="002B6448">
          <w:rPr>
            <w:rFonts w:asciiTheme="minorHAnsi" w:eastAsiaTheme="minorEastAsia" w:hAnsiTheme="minorHAnsi" w:cstheme="minorBidi"/>
            <w:noProof/>
            <w:color w:val="auto"/>
            <w:lang w:eastAsia="fr-FR"/>
          </w:rPr>
          <w:tab/>
        </w:r>
        <w:r w:rsidR="002B6448" w:rsidRPr="00CA4340">
          <w:rPr>
            <w:rStyle w:val="Lienhypertexte"/>
            <w:noProof/>
          </w:rPr>
          <w:t>Détermination de la référence pour les campagnes 2019/2020 et 2020/2021</w:t>
        </w:r>
        <w:r w:rsidR="002B6448">
          <w:rPr>
            <w:noProof/>
          </w:rPr>
          <w:tab/>
        </w:r>
        <w:r w:rsidR="002B6448">
          <w:rPr>
            <w:noProof/>
          </w:rPr>
          <w:fldChar w:fldCharType="begin"/>
        </w:r>
        <w:r w:rsidR="002B6448">
          <w:rPr>
            <w:noProof/>
          </w:rPr>
          <w:instrText xml:space="preserve"> PAGEREF _Toc536180049 \h </w:instrText>
        </w:r>
        <w:r w:rsidR="002B6448">
          <w:rPr>
            <w:noProof/>
          </w:rPr>
        </w:r>
        <w:r w:rsidR="002B6448">
          <w:rPr>
            <w:noProof/>
          </w:rPr>
          <w:fldChar w:fldCharType="separate"/>
        </w:r>
        <w:r w:rsidR="002B6448">
          <w:rPr>
            <w:noProof/>
          </w:rPr>
          <w:t>14</w:t>
        </w:r>
        <w:r w:rsidR="002B6448">
          <w:rPr>
            <w:noProof/>
          </w:rPr>
          <w:fldChar w:fldCharType="end"/>
        </w:r>
      </w:hyperlink>
    </w:p>
    <w:p w14:paraId="32C1D605" w14:textId="7194C7CF"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50" w:history="1">
        <w:r w:rsidR="002B6448" w:rsidRPr="00CA4340">
          <w:rPr>
            <w:rStyle w:val="Lienhypertexte"/>
            <w:noProof/>
          </w:rPr>
          <w:t>2</w:t>
        </w:r>
        <w:r w:rsidR="002B6448">
          <w:rPr>
            <w:rFonts w:asciiTheme="minorHAnsi" w:eastAsiaTheme="minorEastAsia" w:hAnsiTheme="minorHAnsi" w:cstheme="minorBidi"/>
            <w:noProof/>
            <w:color w:val="auto"/>
            <w:lang w:eastAsia="fr-FR"/>
          </w:rPr>
          <w:tab/>
        </w:r>
        <w:r w:rsidR="002B6448" w:rsidRPr="00CA4340">
          <w:rPr>
            <w:rStyle w:val="Lienhypertexte"/>
            <w:noProof/>
          </w:rPr>
          <w:t>Bilan des capacités de croissance et détermination du taux de référence additionnelle de début de campagne pour les ateliers en place</w:t>
        </w:r>
        <w:r w:rsidR="002B6448">
          <w:rPr>
            <w:noProof/>
          </w:rPr>
          <w:tab/>
        </w:r>
        <w:r w:rsidR="002B6448">
          <w:rPr>
            <w:noProof/>
          </w:rPr>
          <w:fldChar w:fldCharType="begin"/>
        </w:r>
        <w:r w:rsidR="002B6448">
          <w:rPr>
            <w:noProof/>
          </w:rPr>
          <w:instrText xml:space="preserve"> PAGEREF _Toc536180050 \h </w:instrText>
        </w:r>
        <w:r w:rsidR="002B6448">
          <w:rPr>
            <w:noProof/>
          </w:rPr>
        </w:r>
        <w:r w:rsidR="002B6448">
          <w:rPr>
            <w:noProof/>
          </w:rPr>
          <w:fldChar w:fldCharType="separate"/>
        </w:r>
        <w:r w:rsidR="002B6448">
          <w:rPr>
            <w:noProof/>
          </w:rPr>
          <w:t>15</w:t>
        </w:r>
        <w:r w:rsidR="002B6448">
          <w:rPr>
            <w:noProof/>
          </w:rPr>
          <w:fldChar w:fldCharType="end"/>
        </w:r>
      </w:hyperlink>
    </w:p>
    <w:p w14:paraId="513C4DB0" w14:textId="60DF1243"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51" w:history="1">
        <w:r w:rsidR="002B6448" w:rsidRPr="00CA4340">
          <w:rPr>
            <w:rStyle w:val="Lienhypertexte"/>
            <w:rFonts w:cs="Cambria"/>
            <w:noProof/>
          </w:rPr>
          <w:t>2.1</w:t>
        </w:r>
        <w:r w:rsidR="002B6448">
          <w:rPr>
            <w:rFonts w:asciiTheme="minorHAnsi" w:eastAsiaTheme="minorEastAsia" w:hAnsiTheme="minorHAnsi" w:cstheme="minorBidi"/>
            <w:noProof/>
            <w:color w:val="auto"/>
            <w:lang w:eastAsia="fr-FR"/>
          </w:rPr>
          <w:tab/>
        </w:r>
        <w:r w:rsidR="002B6448" w:rsidRPr="00CA4340">
          <w:rPr>
            <w:rStyle w:val="Lienhypertexte"/>
            <w:noProof/>
          </w:rPr>
          <w:t>Bilan du marché et taux de croissance additionnel</w:t>
        </w:r>
        <w:r w:rsidR="002B6448">
          <w:rPr>
            <w:noProof/>
          </w:rPr>
          <w:tab/>
        </w:r>
        <w:r w:rsidR="002B6448">
          <w:rPr>
            <w:noProof/>
          </w:rPr>
          <w:fldChar w:fldCharType="begin"/>
        </w:r>
        <w:r w:rsidR="002B6448">
          <w:rPr>
            <w:noProof/>
          </w:rPr>
          <w:instrText xml:space="preserve"> PAGEREF _Toc536180051 \h </w:instrText>
        </w:r>
        <w:r w:rsidR="002B6448">
          <w:rPr>
            <w:noProof/>
          </w:rPr>
        </w:r>
        <w:r w:rsidR="002B6448">
          <w:rPr>
            <w:noProof/>
          </w:rPr>
          <w:fldChar w:fldCharType="separate"/>
        </w:r>
        <w:r w:rsidR="002B6448">
          <w:rPr>
            <w:noProof/>
          </w:rPr>
          <w:t>15</w:t>
        </w:r>
        <w:r w:rsidR="002B6448">
          <w:rPr>
            <w:noProof/>
          </w:rPr>
          <w:fldChar w:fldCharType="end"/>
        </w:r>
      </w:hyperlink>
    </w:p>
    <w:p w14:paraId="117D4AE8" w14:textId="4E170E2E"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52" w:history="1">
        <w:r w:rsidR="002B6448" w:rsidRPr="00CA4340">
          <w:rPr>
            <w:rStyle w:val="Lienhypertexte"/>
            <w:rFonts w:cs="Cambria"/>
            <w:noProof/>
          </w:rPr>
          <w:t>2.2</w:t>
        </w:r>
        <w:r w:rsidR="002B6448">
          <w:rPr>
            <w:rFonts w:asciiTheme="minorHAnsi" w:eastAsiaTheme="minorEastAsia" w:hAnsiTheme="minorHAnsi" w:cstheme="minorBidi"/>
            <w:noProof/>
            <w:color w:val="auto"/>
            <w:lang w:eastAsia="fr-FR"/>
          </w:rPr>
          <w:tab/>
        </w:r>
        <w:r w:rsidR="002B6448" w:rsidRPr="00CA4340">
          <w:rPr>
            <w:rStyle w:val="Lienhypertexte"/>
            <w:noProof/>
          </w:rPr>
          <w:t>Ajustement à mi-campagne</w:t>
        </w:r>
        <w:r w:rsidR="002B6448">
          <w:rPr>
            <w:noProof/>
          </w:rPr>
          <w:tab/>
        </w:r>
        <w:r w:rsidR="002B6448">
          <w:rPr>
            <w:noProof/>
          </w:rPr>
          <w:fldChar w:fldCharType="begin"/>
        </w:r>
        <w:r w:rsidR="002B6448">
          <w:rPr>
            <w:noProof/>
          </w:rPr>
          <w:instrText xml:space="preserve"> PAGEREF _Toc536180052 \h </w:instrText>
        </w:r>
        <w:r w:rsidR="002B6448">
          <w:rPr>
            <w:noProof/>
          </w:rPr>
        </w:r>
        <w:r w:rsidR="002B6448">
          <w:rPr>
            <w:noProof/>
          </w:rPr>
          <w:fldChar w:fldCharType="separate"/>
        </w:r>
        <w:r w:rsidR="002B6448">
          <w:rPr>
            <w:noProof/>
          </w:rPr>
          <w:t>15</w:t>
        </w:r>
        <w:r w:rsidR="002B6448">
          <w:rPr>
            <w:noProof/>
          </w:rPr>
          <w:fldChar w:fldCharType="end"/>
        </w:r>
      </w:hyperlink>
    </w:p>
    <w:p w14:paraId="0EAF6453" w14:textId="19B95BF8"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53" w:history="1">
        <w:r w:rsidR="002B6448" w:rsidRPr="00CA4340">
          <w:rPr>
            <w:rStyle w:val="Lienhypertexte"/>
            <w:noProof/>
          </w:rPr>
          <w:t>3</w:t>
        </w:r>
        <w:r w:rsidR="002B6448">
          <w:rPr>
            <w:rFonts w:asciiTheme="minorHAnsi" w:eastAsiaTheme="minorEastAsia" w:hAnsiTheme="minorHAnsi" w:cstheme="minorBidi"/>
            <w:noProof/>
            <w:color w:val="auto"/>
            <w:lang w:eastAsia="fr-FR"/>
          </w:rPr>
          <w:tab/>
        </w:r>
        <w:r w:rsidR="002B6448" w:rsidRPr="00CA4340">
          <w:rPr>
            <w:rStyle w:val="Lienhypertexte"/>
            <w:noProof/>
          </w:rPr>
          <w:t>Détermination et répartition de l’ouverture</w:t>
        </w:r>
        <w:r w:rsidR="002B6448">
          <w:rPr>
            <w:noProof/>
          </w:rPr>
          <w:tab/>
        </w:r>
        <w:r w:rsidR="002B6448">
          <w:rPr>
            <w:noProof/>
          </w:rPr>
          <w:fldChar w:fldCharType="begin"/>
        </w:r>
        <w:r w:rsidR="002B6448">
          <w:rPr>
            <w:noProof/>
          </w:rPr>
          <w:instrText xml:space="preserve"> PAGEREF _Toc536180053 \h </w:instrText>
        </w:r>
        <w:r w:rsidR="002B6448">
          <w:rPr>
            <w:noProof/>
          </w:rPr>
        </w:r>
        <w:r w:rsidR="002B6448">
          <w:rPr>
            <w:noProof/>
          </w:rPr>
          <w:fldChar w:fldCharType="separate"/>
        </w:r>
        <w:r w:rsidR="002B6448">
          <w:rPr>
            <w:noProof/>
          </w:rPr>
          <w:t>16</w:t>
        </w:r>
        <w:r w:rsidR="002B6448">
          <w:rPr>
            <w:noProof/>
          </w:rPr>
          <w:fldChar w:fldCharType="end"/>
        </w:r>
      </w:hyperlink>
    </w:p>
    <w:p w14:paraId="79A886E9" w14:textId="2528D74C" w:rsidR="002B6448" w:rsidRDefault="00A01511">
      <w:pPr>
        <w:pStyle w:val="TM2"/>
        <w:tabs>
          <w:tab w:val="right" w:pos="9628"/>
        </w:tabs>
        <w:rPr>
          <w:rFonts w:asciiTheme="minorHAnsi" w:eastAsiaTheme="minorEastAsia" w:hAnsiTheme="minorHAnsi" w:cstheme="minorBidi"/>
          <w:noProof/>
          <w:color w:val="auto"/>
          <w:lang w:eastAsia="fr-FR"/>
        </w:rPr>
      </w:pPr>
      <w:hyperlink w:anchor="_Toc536180054" w:history="1">
        <w:r w:rsidR="002B6448" w:rsidRPr="00CA4340">
          <w:rPr>
            <w:rStyle w:val="Lienhypertexte"/>
            <w:noProof/>
          </w:rPr>
          <w:t>2.1 Ouverture pour les nouveaux ateliers</w:t>
        </w:r>
        <w:r w:rsidR="002B6448">
          <w:rPr>
            <w:noProof/>
          </w:rPr>
          <w:tab/>
        </w:r>
        <w:r w:rsidR="002B6448">
          <w:rPr>
            <w:noProof/>
          </w:rPr>
          <w:fldChar w:fldCharType="begin"/>
        </w:r>
        <w:r w:rsidR="002B6448">
          <w:rPr>
            <w:noProof/>
          </w:rPr>
          <w:instrText xml:space="preserve"> PAGEREF _Toc536180054 \h </w:instrText>
        </w:r>
        <w:r w:rsidR="002B6448">
          <w:rPr>
            <w:noProof/>
          </w:rPr>
        </w:r>
        <w:r w:rsidR="002B6448">
          <w:rPr>
            <w:noProof/>
          </w:rPr>
          <w:fldChar w:fldCharType="separate"/>
        </w:r>
        <w:r w:rsidR="002B6448">
          <w:rPr>
            <w:noProof/>
          </w:rPr>
          <w:t>16</w:t>
        </w:r>
        <w:r w:rsidR="002B6448">
          <w:rPr>
            <w:noProof/>
          </w:rPr>
          <w:fldChar w:fldCharType="end"/>
        </w:r>
      </w:hyperlink>
    </w:p>
    <w:p w14:paraId="514C92C7" w14:textId="1D86A4B3" w:rsidR="002B6448" w:rsidRDefault="00A01511">
      <w:pPr>
        <w:pStyle w:val="TM2"/>
        <w:tabs>
          <w:tab w:val="right" w:pos="9628"/>
        </w:tabs>
        <w:rPr>
          <w:rFonts w:asciiTheme="minorHAnsi" w:eastAsiaTheme="minorEastAsia" w:hAnsiTheme="minorHAnsi" w:cstheme="minorBidi"/>
          <w:noProof/>
          <w:color w:val="auto"/>
          <w:lang w:eastAsia="fr-FR"/>
        </w:rPr>
      </w:pPr>
      <w:hyperlink w:anchor="_Toc536180055" w:history="1">
        <w:r w:rsidR="002B6448" w:rsidRPr="00CA4340">
          <w:rPr>
            <w:rStyle w:val="Lienhypertexte"/>
            <w:noProof/>
          </w:rPr>
          <w:t>2.2 Ouverture pour les opérateurs déjà en place</w:t>
        </w:r>
        <w:r w:rsidR="002B6448">
          <w:rPr>
            <w:noProof/>
          </w:rPr>
          <w:tab/>
        </w:r>
        <w:r w:rsidR="002B6448">
          <w:rPr>
            <w:noProof/>
          </w:rPr>
          <w:fldChar w:fldCharType="begin"/>
        </w:r>
        <w:r w:rsidR="002B6448">
          <w:rPr>
            <w:noProof/>
          </w:rPr>
          <w:instrText xml:space="preserve"> PAGEREF _Toc536180055 \h </w:instrText>
        </w:r>
        <w:r w:rsidR="002B6448">
          <w:rPr>
            <w:noProof/>
          </w:rPr>
        </w:r>
        <w:r w:rsidR="002B6448">
          <w:rPr>
            <w:noProof/>
          </w:rPr>
          <w:fldChar w:fldCharType="separate"/>
        </w:r>
        <w:r w:rsidR="002B6448">
          <w:rPr>
            <w:noProof/>
          </w:rPr>
          <w:t>16</w:t>
        </w:r>
        <w:r w:rsidR="002B6448">
          <w:rPr>
            <w:noProof/>
          </w:rPr>
          <w:fldChar w:fldCharType="end"/>
        </w:r>
      </w:hyperlink>
    </w:p>
    <w:p w14:paraId="01A7B922" w14:textId="012CC910" w:rsidR="002B6448" w:rsidRDefault="00A01511">
      <w:pPr>
        <w:pStyle w:val="TM1"/>
        <w:tabs>
          <w:tab w:val="left" w:pos="480"/>
          <w:tab w:val="right" w:pos="9628"/>
        </w:tabs>
        <w:rPr>
          <w:rFonts w:asciiTheme="minorHAnsi" w:eastAsiaTheme="minorEastAsia" w:hAnsiTheme="minorHAnsi" w:cstheme="minorBidi"/>
          <w:noProof/>
          <w:color w:val="auto"/>
          <w:lang w:eastAsia="fr-FR"/>
        </w:rPr>
      </w:pPr>
      <w:hyperlink w:anchor="_Toc536180071" w:history="1">
        <w:r w:rsidR="002B6448" w:rsidRPr="00CA4340">
          <w:rPr>
            <w:rStyle w:val="Lienhypertexte"/>
            <w:noProof/>
          </w:rPr>
          <w:t>4</w:t>
        </w:r>
        <w:r w:rsidR="002B6448">
          <w:rPr>
            <w:rFonts w:asciiTheme="minorHAnsi" w:eastAsiaTheme="minorEastAsia" w:hAnsiTheme="minorHAnsi" w:cstheme="minorBidi"/>
            <w:noProof/>
            <w:color w:val="auto"/>
            <w:lang w:eastAsia="fr-FR"/>
          </w:rPr>
          <w:tab/>
        </w:r>
        <w:r w:rsidR="002B6448" w:rsidRPr="00CA4340">
          <w:rPr>
            <w:rStyle w:val="Lienhypertexte"/>
            <w:noProof/>
          </w:rPr>
          <w:t>Montant des sur-cotisations</w:t>
        </w:r>
        <w:r w:rsidR="002B6448">
          <w:rPr>
            <w:noProof/>
          </w:rPr>
          <w:tab/>
        </w:r>
        <w:r w:rsidR="002B6448">
          <w:rPr>
            <w:noProof/>
          </w:rPr>
          <w:fldChar w:fldCharType="begin"/>
        </w:r>
        <w:r w:rsidR="002B6448">
          <w:rPr>
            <w:noProof/>
          </w:rPr>
          <w:instrText xml:space="preserve"> PAGEREF _Toc536180071 \h </w:instrText>
        </w:r>
        <w:r w:rsidR="002B6448">
          <w:rPr>
            <w:noProof/>
          </w:rPr>
        </w:r>
        <w:r w:rsidR="002B6448">
          <w:rPr>
            <w:noProof/>
          </w:rPr>
          <w:fldChar w:fldCharType="separate"/>
        </w:r>
        <w:r w:rsidR="002B6448">
          <w:rPr>
            <w:noProof/>
          </w:rPr>
          <w:t>17</w:t>
        </w:r>
        <w:r w:rsidR="002B6448">
          <w:rPr>
            <w:noProof/>
          </w:rPr>
          <w:fldChar w:fldCharType="end"/>
        </w:r>
      </w:hyperlink>
    </w:p>
    <w:p w14:paraId="1A7602DA" w14:textId="57F11003"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72" w:history="1">
        <w:r w:rsidR="002B6448" w:rsidRPr="00CA4340">
          <w:rPr>
            <w:rStyle w:val="Lienhypertexte"/>
            <w:rFonts w:cs="Cambria"/>
            <w:noProof/>
          </w:rPr>
          <w:t>4.1</w:t>
        </w:r>
        <w:r w:rsidR="002B6448">
          <w:rPr>
            <w:rFonts w:asciiTheme="minorHAnsi" w:eastAsiaTheme="minorEastAsia" w:hAnsiTheme="minorHAnsi" w:cstheme="minorBidi"/>
            <w:noProof/>
            <w:color w:val="auto"/>
            <w:lang w:eastAsia="fr-FR"/>
          </w:rPr>
          <w:tab/>
        </w:r>
        <w:r w:rsidR="002B6448" w:rsidRPr="00CA4340">
          <w:rPr>
            <w:rStyle w:val="Lienhypertexte"/>
            <w:noProof/>
          </w:rPr>
          <w:t>Sur-cotisations pour les ateliers existants</w:t>
        </w:r>
        <w:r w:rsidR="002B6448">
          <w:rPr>
            <w:noProof/>
          </w:rPr>
          <w:tab/>
        </w:r>
        <w:r w:rsidR="002B6448">
          <w:rPr>
            <w:noProof/>
          </w:rPr>
          <w:fldChar w:fldCharType="begin"/>
        </w:r>
        <w:r w:rsidR="002B6448">
          <w:rPr>
            <w:noProof/>
          </w:rPr>
          <w:instrText xml:space="preserve"> PAGEREF _Toc536180072 \h </w:instrText>
        </w:r>
        <w:r w:rsidR="002B6448">
          <w:rPr>
            <w:noProof/>
          </w:rPr>
        </w:r>
        <w:r w:rsidR="002B6448">
          <w:rPr>
            <w:noProof/>
          </w:rPr>
          <w:fldChar w:fldCharType="separate"/>
        </w:r>
        <w:r w:rsidR="002B6448">
          <w:rPr>
            <w:noProof/>
          </w:rPr>
          <w:t>17</w:t>
        </w:r>
        <w:r w:rsidR="002B6448">
          <w:rPr>
            <w:noProof/>
          </w:rPr>
          <w:fldChar w:fldCharType="end"/>
        </w:r>
      </w:hyperlink>
    </w:p>
    <w:p w14:paraId="3C583333" w14:textId="71158A9B" w:rsidR="002B6448" w:rsidRDefault="00A01511">
      <w:pPr>
        <w:pStyle w:val="TM2"/>
        <w:tabs>
          <w:tab w:val="left" w:pos="960"/>
          <w:tab w:val="right" w:pos="9628"/>
        </w:tabs>
        <w:rPr>
          <w:rFonts w:asciiTheme="minorHAnsi" w:eastAsiaTheme="minorEastAsia" w:hAnsiTheme="minorHAnsi" w:cstheme="minorBidi"/>
          <w:noProof/>
          <w:color w:val="auto"/>
          <w:lang w:eastAsia="fr-FR"/>
        </w:rPr>
      </w:pPr>
      <w:hyperlink w:anchor="_Toc536180073" w:history="1">
        <w:r w:rsidR="002B6448" w:rsidRPr="00CA4340">
          <w:rPr>
            <w:rStyle w:val="Lienhypertexte"/>
            <w:rFonts w:cs="Cambria"/>
            <w:noProof/>
          </w:rPr>
          <w:t>4.2</w:t>
        </w:r>
        <w:r w:rsidR="002B6448">
          <w:rPr>
            <w:rFonts w:asciiTheme="minorHAnsi" w:eastAsiaTheme="minorEastAsia" w:hAnsiTheme="minorHAnsi" w:cstheme="minorBidi"/>
            <w:noProof/>
            <w:color w:val="auto"/>
            <w:lang w:eastAsia="fr-FR"/>
          </w:rPr>
          <w:tab/>
        </w:r>
        <w:r w:rsidR="002B6448" w:rsidRPr="00CA4340">
          <w:rPr>
            <w:rStyle w:val="Lienhypertexte"/>
            <w:noProof/>
          </w:rPr>
          <w:t>Sur-cotisations pour les nouveaux ateliers</w:t>
        </w:r>
        <w:r w:rsidR="002B6448">
          <w:rPr>
            <w:noProof/>
          </w:rPr>
          <w:tab/>
        </w:r>
        <w:r w:rsidR="002B6448">
          <w:rPr>
            <w:noProof/>
          </w:rPr>
          <w:fldChar w:fldCharType="begin"/>
        </w:r>
        <w:r w:rsidR="002B6448">
          <w:rPr>
            <w:noProof/>
          </w:rPr>
          <w:instrText xml:space="preserve"> PAGEREF _Toc536180073 \h </w:instrText>
        </w:r>
        <w:r w:rsidR="002B6448">
          <w:rPr>
            <w:noProof/>
          </w:rPr>
        </w:r>
        <w:r w:rsidR="002B6448">
          <w:rPr>
            <w:noProof/>
          </w:rPr>
          <w:fldChar w:fldCharType="separate"/>
        </w:r>
        <w:r w:rsidR="002B6448">
          <w:rPr>
            <w:noProof/>
          </w:rPr>
          <w:t>17</w:t>
        </w:r>
        <w:r w:rsidR="002B6448">
          <w:rPr>
            <w:noProof/>
          </w:rPr>
          <w:fldChar w:fldCharType="end"/>
        </w:r>
      </w:hyperlink>
    </w:p>
    <w:p w14:paraId="60C5703C" w14:textId="3C306131" w:rsidR="00685E04" w:rsidRDefault="00963ECD">
      <w:pPr>
        <w:rPr>
          <w:rFonts w:cs="Times New Roman"/>
          <w:b/>
          <w:lang w:eastAsia="fr-FR"/>
        </w:rPr>
      </w:pPr>
      <w:r>
        <w:fldChar w:fldCharType="end"/>
      </w:r>
    </w:p>
    <w:p w14:paraId="59A043D7" w14:textId="77777777" w:rsidR="001E2AD2" w:rsidRDefault="001E2AD2">
      <w:pPr>
        <w:jc w:val="center"/>
        <w:rPr>
          <w:b/>
          <w:sz w:val="52"/>
          <w:szCs w:val="52"/>
        </w:rPr>
      </w:pPr>
    </w:p>
    <w:p w14:paraId="116F9068" w14:textId="22636181" w:rsidR="00685E04" w:rsidRDefault="00963ECD">
      <w:pPr>
        <w:jc w:val="center"/>
        <w:rPr>
          <w:b/>
        </w:rPr>
      </w:pPr>
      <w:r>
        <w:rPr>
          <w:b/>
          <w:sz w:val="52"/>
          <w:szCs w:val="52"/>
        </w:rPr>
        <w:lastRenderedPageBreak/>
        <w:t>GLOSSAIRE</w:t>
      </w:r>
    </w:p>
    <w:p w14:paraId="00039AC3" w14:textId="77777777" w:rsidR="00685E04" w:rsidRDefault="00685E04">
      <w:pPr>
        <w:rPr>
          <w:b/>
        </w:rPr>
      </w:pPr>
    </w:p>
    <w:p w14:paraId="2554C810" w14:textId="77777777" w:rsidR="00685E04" w:rsidRDefault="00685E04">
      <w:pPr>
        <w:rPr>
          <w:b/>
        </w:rPr>
      </w:pPr>
    </w:p>
    <w:p w14:paraId="408BE182" w14:textId="77777777" w:rsidR="00685E04" w:rsidRDefault="00685E04">
      <w:pPr>
        <w:rPr>
          <w:b/>
        </w:rPr>
      </w:pPr>
    </w:p>
    <w:p w14:paraId="51571BC5" w14:textId="77777777" w:rsidR="00685E04" w:rsidRDefault="00963ECD">
      <w:pPr>
        <w:jc w:val="both"/>
      </w:pPr>
      <w:r>
        <w:rPr>
          <w:b/>
        </w:rPr>
        <w:t>Abondance fermier </w:t>
      </w:r>
      <w:r>
        <w:t>: Abondance fabriqué à la ferme avec le seul lait du troupeau de l'exploitation et selon l’ensemble des conditions précisées dans le cahier des charges de l’Appellation d'Origine Protégée (AOP).</w:t>
      </w:r>
    </w:p>
    <w:p w14:paraId="15D12724" w14:textId="77777777" w:rsidR="00685E04" w:rsidRDefault="00685E04">
      <w:pPr>
        <w:jc w:val="both"/>
      </w:pPr>
    </w:p>
    <w:p w14:paraId="13D74A00" w14:textId="77777777" w:rsidR="00685E04" w:rsidRDefault="00963ECD">
      <w:pPr>
        <w:jc w:val="both"/>
      </w:pPr>
      <w:r>
        <w:rPr>
          <w:b/>
        </w:rPr>
        <w:t>Abondance laitier </w:t>
      </w:r>
      <w:r>
        <w:t>: Abondance fabriqué dans un atelier regroupant le lait de plusieurs troupeaux et selon l’ensemble des conditions précisées dans le cahier des charges de l’AOP.</w:t>
      </w:r>
    </w:p>
    <w:p w14:paraId="453EA523" w14:textId="77777777" w:rsidR="00685E04" w:rsidRDefault="00685E04">
      <w:pPr>
        <w:jc w:val="both"/>
      </w:pPr>
    </w:p>
    <w:p w14:paraId="0F51FFF7" w14:textId="77777777" w:rsidR="00685E04" w:rsidRDefault="00963ECD">
      <w:pPr>
        <w:jc w:val="both"/>
      </w:pPr>
      <w:r>
        <w:rPr>
          <w:b/>
        </w:rPr>
        <w:t>Atelier</w:t>
      </w:r>
      <w:r>
        <w:t> : unité de fabrication habilitée à produire de l’Abondance laitier ou de l’Abondance fermier.</w:t>
      </w:r>
    </w:p>
    <w:p w14:paraId="57D56ECF" w14:textId="77777777" w:rsidR="00685E04" w:rsidRDefault="00685E04">
      <w:pPr>
        <w:jc w:val="both"/>
      </w:pPr>
    </w:p>
    <w:p w14:paraId="3208F15D" w14:textId="77777777" w:rsidR="00685E04" w:rsidRDefault="00963ECD">
      <w:pPr>
        <w:jc w:val="both"/>
      </w:pPr>
      <w:r>
        <w:rPr>
          <w:b/>
        </w:rPr>
        <w:t>Campagne de production ou « campagne » N/N+1 </w:t>
      </w:r>
      <w:r>
        <w:t>: période de 12 mois allant du 1</w:t>
      </w:r>
      <w:r>
        <w:rPr>
          <w:vertAlign w:val="superscript"/>
        </w:rPr>
        <w:t>er</w:t>
      </w:r>
      <w:r>
        <w:t xml:space="preserve"> avril de l’année N au 31 mars de l’année N+1.</w:t>
      </w:r>
    </w:p>
    <w:p w14:paraId="1C20416C" w14:textId="77777777" w:rsidR="00685E04" w:rsidRDefault="00685E04">
      <w:pPr>
        <w:jc w:val="both"/>
      </w:pPr>
    </w:p>
    <w:p w14:paraId="24B5A171" w14:textId="4E81B29F" w:rsidR="00685E04" w:rsidRDefault="00963ECD">
      <w:pPr>
        <w:pStyle w:val="Paragraphedeliste1"/>
        <w:ind w:left="0"/>
        <w:jc w:val="both"/>
        <w:rPr>
          <w:rFonts w:ascii="Cambria" w:eastAsia="MS Mincho" w:hAnsi="Cambria" w:cs="font41"/>
          <w:sz w:val="24"/>
          <w:szCs w:val="24"/>
        </w:rPr>
      </w:pPr>
      <w:r>
        <w:rPr>
          <w:rFonts w:ascii="Cambria" w:eastAsia="MS Mincho" w:hAnsi="Cambria" w:cs="font41"/>
          <w:b/>
          <w:sz w:val="24"/>
          <w:szCs w:val="24"/>
        </w:rPr>
        <w:t>Déclaration d’Identification (DI) :</w:t>
      </w:r>
      <w:r>
        <w:rPr>
          <w:rFonts w:ascii="Cambria" w:eastAsia="MS Mincho" w:hAnsi="Cambria" w:cs="font41"/>
          <w:sz w:val="24"/>
          <w:szCs w:val="24"/>
        </w:rPr>
        <w:t xml:space="preserve"> tout opérateur souhaitant bénéficier de l’Appellation d’Origine Protégée Abondance est tenu de s’identifier auprès de l'ODG en remplissant et signant une déclaration d’identification, en vue de son habilitation. Un opérateur en DI Abondance peut être habilité à produire d’autres fromages AOP/IGP.</w:t>
      </w:r>
    </w:p>
    <w:p w14:paraId="66FF4357" w14:textId="77777777" w:rsidR="00685E04" w:rsidRDefault="00963ECD">
      <w:pPr>
        <w:jc w:val="both"/>
      </w:pPr>
      <w:r>
        <w:rPr>
          <w:b/>
        </w:rPr>
        <w:t>Déclassement</w:t>
      </w:r>
      <w:r>
        <w:t> : perte de la dénomination Abondance pour un volume de fromage ayant subi une altération de sa qualité, par exemple pour des raisons technologiques ou sanitaires.</w:t>
      </w:r>
    </w:p>
    <w:p w14:paraId="69C751E5" w14:textId="77777777" w:rsidR="00685E04" w:rsidRDefault="00685E04"/>
    <w:p w14:paraId="1E9DB09C" w14:textId="77777777" w:rsidR="00685E04" w:rsidRDefault="00963ECD">
      <w:pPr>
        <w:jc w:val="both"/>
      </w:pPr>
      <w:r>
        <w:rPr>
          <w:b/>
        </w:rPr>
        <w:t>Opérateur </w:t>
      </w:r>
      <w:r>
        <w:t>: entreprise produisant de l’Abondance fermier ou laitier, possédant un ou plusieurs ateliers de fabrication.</w:t>
      </w:r>
    </w:p>
    <w:p w14:paraId="228D1229" w14:textId="77777777" w:rsidR="00685E04" w:rsidRDefault="00685E04">
      <w:pPr>
        <w:jc w:val="both"/>
      </w:pPr>
    </w:p>
    <w:p w14:paraId="18FE7F4C" w14:textId="77777777" w:rsidR="00685E04" w:rsidRDefault="00963ECD">
      <w:pPr>
        <w:jc w:val="both"/>
      </w:pPr>
      <w:r>
        <w:rPr>
          <w:b/>
        </w:rPr>
        <w:t>Plaque de caséine</w:t>
      </w:r>
      <w:r>
        <w:t xml:space="preserve"> : marque d’identification telle que définie par le cahier des charges de l’Appellation Abondance. Elle est délivrée par le SIFA et apposée sur le talon de la meule d’Abondance au cours du moulage. La plaque est carrée et de couleur rouge pour les ateliers fabricant de l’Abondance laitier et elliptique et de couleur verte pour les ateliers fabricant de l’Abondance fermier. Elle comporte les mots France et Abondance ainsi que le numéro d’atelier correspondant à l’atelier de fabrication et le mot Fermier pour les Abondances fermiers.</w:t>
      </w:r>
    </w:p>
    <w:p w14:paraId="76663643" w14:textId="77777777" w:rsidR="00685E04" w:rsidRDefault="00685E04">
      <w:pPr>
        <w:jc w:val="both"/>
      </w:pPr>
    </w:p>
    <w:p w14:paraId="4A3C9642" w14:textId="77777777" w:rsidR="00685E04" w:rsidRDefault="00963ECD">
      <w:pPr>
        <w:widowControl w:val="0"/>
        <w:tabs>
          <w:tab w:val="left" w:pos="0"/>
          <w:tab w:val="left" w:pos="220"/>
        </w:tabs>
        <w:spacing w:after="240"/>
        <w:jc w:val="both"/>
        <w:rPr>
          <w:b/>
        </w:rPr>
      </w:pPr>
      <w:r>
        <w:rPr>
          <w:b/>
        </w:rPr>
        <w:t>SIFA </w:t>
      </w:r>
      <w:r>
        <w:t xml:space="preserve">: Syndicat Interprofessionnel du Fromage Abondance qui est la structure collective reconnue Organisme de Défense et de Gestion (ODG) par l’INAO le 11 </w:t>
      </w:r>
      <w:r>
        <w:rPr>
          <w:shd w:val="clear" w:color="auto" w:fill="FFFFFF"/>
        </w:rPr>
        <w:t>juillet 2007.</w:t>
      </w:r>
    </w:p>
    <w:p w14:paraId="115D4DCD" w14:textId="77777777" w:rsidR="00685E04" w:rsidRDefault="00963ECD">
      <w:pPr>
        <w:jc w:val="both"/>
      </w:pPr>
      <w:r>
        <w:rPr>
          <w:b/>
        </w:rPr>
        <w:t xml:space="preserve">Sur-cotisation : </w:t>
      </w:r>
      <w:r>
        <w:t>surcoût dont doit s’acquitter un atelier de transformation auprès du SIFA, dès lors qu’il dépasse sa référence de campagne. Elle est appelée sur chaque meule de fromage supplémentaire.</w:t>
      </w:r>
    </w:p>
    <w:p w14:paraId="437E738F" w14:textId="77777777" w:rsidR="00685E04" w:rsidRDefault="00685E04"/>
    <w:p w14:paraId="652416BB" w14:textId="77777777" w:rsidR="00685E04" w:rsidRDefault="00963ECD">
      <w:pPr>
        <w:pStyle w:val="Paragraphedeliste1"/>
        <w:ind w:left="0"/>
        <w:jc w:val="both"/>
        <w:rPr>
          <w:rFonts w:ascii="Cambria" w:eastAsia="MS Mincho" w:hAnsi="Cambria" w:cs="font41"/>
          <w:sz w:val="24"/>
          <w:szCs w:val="24"/>
        </w:rPr>
      </w:pPr>
      <w:r>
        <w:rPr>
          <w:rFonts w:ascii="Cambria" w:eastAsia="MS Mincho" w:hAnsi="Cambria" w:cs="font41"/>
          <w:b/>
          <w:sz w:val="24"/>
          <w:szCs w:val="24"/>
        </w:rPr>
        <w:t>Taux de spécialisation laitier :</w:t>
      </w:r>
      <w:r>
        <w:rPr>
          <w:rFonts w:ascii="Cambria" w:eastAsia="MS Mincho" w:hAnsi="Cambria" w:cs="font41"/>
          <w:sz w:val="24"/>
          <w:szCs w:val="24"/>
        </w:rPr>
        <w:t xml:space="preserve"> lait transformé en Abondance rapporté au lait total collecté par les opérateurs par combinaison de Déclaration d’Identification producteurs (Abondance ; Abondance/Reblochon ; Abondance/Reblochon/Tomme de Savoie/Emmental de Savoie/Raclette de Savoie ; Abondance/Tomme de Savoie/Emmental de Savoie/Raclette de Savoie). Les taux de spécialisation laitiers sont calculés une fois par an et par combinaison de Déclaration d'Identification (DI).</w:t>
      </w:r>
    </w:p>
    <w:p w14:paraId="3488DF59" w14:textId="77777777" w:rsidR="00685E04" w:rsidRDefault="00963ECD">
      <w:pPr>
        <w:pStyle w:val="Paragraphedeliste1"/>
        <w:tabs>
          <w:tab w:val="left" w:pos="720"/>
        </w:tabs>
        <w:ind w:left="0"/>
        <w:jc w:val="both"/>
        <w:rPr>
          <w:rFonts w:ascii="Cambria" w:eastAsia="MS Mincho" w:hAnsi="Cambria" w:cs="font41"/>
          <w:sz w:val="24"/>
          <w:szCs w:val="24"/>
        </w:rPr>
      </w:pPr>
      <w:r>
        <w:rPr>
          <w:rFonts w:ascii="Cambria" w:eastAsia="MS Mincho" w:hAnsi="Cambria" w:cs="font41"/>
          <w:b/>
          <w:sz w:val="24"/>
          <w:szCs w:val="24"/>
        </w:rPr>
        <w:lastRenderedPageBreak/>
        <w:t>Taux de spécialisation fermier :</w:t>
      </w:r>
      <w:r>
        <w:rPr>
          <w:rFonts w:ascii="Cambria" w:hAnsi="Cambria"/>
          <w:sz w:val="24"/>
          <w:szCs w:val="24"/>
        </w:rPr>
        <w:t xml:space="preserve"> </w:t>
      </w:r>
      <w:r>
        <w:rPr>
          <w:rFonts w:ascii="Cambria" w:eastAsia="MS Mincho" w:hAnsi="Cambria" w:cs="font41"/>
          <w:sz w:val="24"/>
          <w:szCs w:val="24"/>
        </w:rPr>
        <w:t>lait transformé en Abondance rapporté au lait total transformé sous Déclaration d’Identification (Abondance ; Abondance/Reblochon ; Abondance/Reblochon/Tomme de Savoie/Emmental de Savoie/Raclette de Savoie ; Abondance/Tomme de Savoie/Emmental de Savoie/Raclette de Savoie). Les taux de spécialisation fermiers sont calculés une fois par an et par fromagerie fermière.</w:t>
      </w:r>
    </w:p>
    <w:p w14:paraId="01ED23E4" w14:textId="77777777" w:rsidR="00685E04" w:rsidRDefault="00963ECD">
      <w:pPr>
        <w:spacing w:line="252" w:lineRule="auto"/>
        <w:jc w:val="both"/>
        <w:rPr>
          <w:b/>
        </w:rPr>
      </w:pPr>
      <w:r>
        <w:rPr>
          <w:b/>
        </w:rPr>
        <w:t xml:space="preserve">Travail à façon : </w:t>
      </w:r>
      <w:r>
        <w:t>en cas de travail à façon entre deux opérateurs fabriquant de l’Abondance, la référence appartient à l’opérateur propriétaire du lait et des fromages en blanc.</w:t>
      </w:r>
    </w:p>
    <w:p w14:paraId="01868B0B" w14:textId="77777777" w:rsidR="00685E04" w:rsidRDefault="00685E04">
      <w:pPr>
        <w:jc w:val="both"/>
      </w:pPr>
    </w:p>
    <w:p w14:paraId="2190D4BB" w14:textId="77777777" w:rsidR="00685E04" w:rsidRDefault="00963ECD">
      <w:pPr>
        <w:jc w:val="both"/>
      </w:pPr>
      <w:r>
        <w:br w:type="page"/>
      </w:r>
    </w:p>
    <w:p w14:paraId="4C3DC918" w14:textId="77777777" w:rsidR="00685E04" w:rsidRDefault="00963ECD">
      <w:pPr>
        <w:pStyle w:val="Titre20"/>
        <w:jc w:val="both"/>
      </w:pPr>
      <w:r>
        <w:lastRenderedPageBreak/>
        <w:t>Les principes de la régulation de l’offre</w:t>
      </w:r>
    </w:p>
    <w:p w14:paraId="79586922" w14:textId="77777777" w:rsidR="00685E04" w:rsidRDefault="00685E04"/>
    <w:p w14:paraId="4FC6238E" w14:textId="60AE5906" w:rsidR="00685E04" w:rsidRDefault="00963ECD">
      <w:pPr>
        <w:jc w:val="both"/>
      </w:pPr>
      <w:r>
        <w:t>L’accord est soumis à des règles de votes obéissant à l’article 150 du Règlement UE n° 1308/2013 du 17 décembre 2013 (OCM).</w:t>
      </w:r>
    </w:p>
    <w:p w14:paraId="7F4ECF21" w14:textId="77777777" w:rsidR="00685E04" w:rsidRDefault="00685E04">
      <w:pPr>
        <w:jc w:val="both"/>
      </w:pPr>
    </w:p>
    <w:p w14:paraId="0D6D2F4F" w14:textId="77777777" w:rsidR="00685E04" w:rsidRDefault="00963ECD">
      <w:pPr>
        <w:jc w:val="both"/>
      </w:pPr>
      <w:r>
        <w:t>Le fromage d’Abondance est produit dans une région où il est crucial de maintenir l’emploi afin de lutter contre la désertification. Il est donc important que la filière offre à ses intervenants un environnement économique de nature à leur apporter un partage de la valeur qui profite à tous, y compris aux consommateurs, tout en assurant la préservation de la qualité de l’Abondance.</w:t>
      </w:r>
    </w:p>
    <w:p w14:paraId="30BCA92A" w14:textId="77777777" w:rsidR="00685E04" w:rsidRDefault="00685E04"/>
    <w:p w14:paraId="50B28454" w14:textId="1B9A1E2A" w:rsidR="00685E04" w:rsidRDefault="00963ECD">
      <w:pPr>
        <w:jc w:val="both"/>
      </w:pPr>
      <w:r>
        <w:t>Tel est le but des règles de la régulation des quantités d'Abondance qui vise à maintenir un niveau de stocks en adéquation avec la consommation et ainsi à prévenir la dégradation des produits. Ces mesures décidées par la filière ne concernent que ce qui est absolument nécessaire pour réguler la production d’Abondance. Elles sont proportionnées, non discriminatoires et n'entravent pas le dynamisme de la filière. Elles laissent les transformateurs libres de fabriquer tout autre produit que l’Abondance et par conséquent les producteurs de lait libres de produire le lait servant à fabriquer tout autre produit que l’Abondance.</w:t>
      </w:r>
    </w:p>
    <w:p w14:paraId="6B8B5CB6" w14:textId="77777777" w:rsidR="00685E04" w:rsidRDefault="00685E04">
      <w:pPr>
        <w:jc w:val="both"/>
      </w:pPr>
    </w:p>
    <w:p w14:paraId="5C7095EC" w14:textId="77777777" w:rsidR="00685E04" w:rsidRDefault="00963ECD">
      <w:pPr>
        <w:jc w:val="both"/>
      </w:pPr>
      <w:r>
        <w:t>L’organisation de la régulation est gérée par le SIFA.</w:t>
      </w:r>
    </w:p>
    <w:p w14:paraId="66345679" w14:textId="77777777" w:rsidR="00685E04" w:rsidRDefault="00963ECD">
      <w:pPr>
        <w:pStyle w:val="Titre1"/>
        <w:numPr>
          <w:ilvl w:val="0"/>
          <w:numId w:val="5"/>
        </w:numPr>
      </w:pPr>
      <w:bookmarkStart w:id="0" w:name="_Toc383267571"/>
      <w:bookmarkStart w:id="1" w:name="_Toc351042969"/>
      <w:bookmarkStart w:id="2" w:name="_Toc348965862"/>
      <w:bookmarkStart w:id="3" w:name="_Toc536180033"/>
      <w:bookmarkEnd w:id="0"/>
      <w:bookmarkEnd w:id="1"/>
      <w:bookmarkEnd w:id="2"/>
      <w:r>
        <w:t>Bilan des capacités de croissance</w:t>
      </w:r>
      <w:bookmarkEnd w:id="3"/>
    </w:p>
    <w:p w14:paraId="00E654B3" w14:textId="77777777" w:rsidR="00685E04" w:rsidRDefault="00685E04">
      <w:pPr>
        <w:jc w:val="both"/>
      </w:pPr>
    </w:p>
    <w:p w14:paraId="1F4C0A5B" w14:textId="77777777" w:rsidR="00685E04" w:rsidRDefault="00963ECD">
      <w:pPr>
        <w:jc w:val="both"/>
      </w:pPr>
      <w:r>
        <w:t>L’AOP Abondance est un fromage à affinage long (100 jours minimum). Cependant, sa technologie de pâte pressée mi-cuite lui confère de faibles aptitudes à supporter un affinage très long (supérieur à un an) car les propriétés gustatives évoluent rapidement puis se dégradent ensuite. L’observation révèle que l’âge de vente moyen de l’Abondance se situe entre 100 jours et 6 mois.</w:t>
      </w:r>
    </w:p>
    <w:p w14:paraId="433608CC" w14:textId="77777777" w:rsidR="00685E04" w:rsidRDefault="00685E04">
      <w:pPr>
        <w:jc w:val="both"/>
      </w:pPr>
    </w:p>
    <w:p w14:paraId="0AFC40E2" w14:textId="77777777" w:rsidR="00685E04" w:rsidRDefault="00963ECD">
      <w:pPr>
        <w:jc w:val="both"/>
      </w:pPr>
      <w:r>
        <w:t>Lors de la préparation d’un plan de régulation de l’offre, le SIFA dispose des données suivantes :</w:t>
      </w:r>
    </w:p>
    <w:p w14:paraId="0A51D3E7" w14:textId="77777777" w:rsidR="00685E04" w:rsidRDefault="00685E04">
      <w:pPr>
        <w:jc w:val="both"/>
      </w:pPr>
    </w:p>
    <w:p w14:paraId="003B086F" w14:textId="0283E2B7" w:rsidR="00685E04" w:rsidRDefault="00963ECD">
      <w:pPr>
        <w:pStyle w:val="Paragraphedeliste1"/>
        <w:numPr>
          <w:ilvl w:val="0"/>
          <w:numId w:val="2"/>
        </w:numPr>
        <w:jc w:val="both"/>
      </w:pPr>
      <w:r>
        <w:rPr>
          <w:rFonts w:asciiTheme="minorHAnsi" w:hAnsiTheme="minorHAnsi"/>
          <w:sz w:val="24"/>
          <w:szCs w:val="24"/>
        </w:rPr>
        <w:t>La quantité produite (quantité de fromages et/ou nombre de meules) des années précédentes et son évolution pour les fromages laitiers et fermiers.</w:t>
      </w:r>
    </w:p>
    <w:p w14:paraId="73BF30AF" w14:textId="189D3577" w:rsidR="00685E04" w:rsidRDefault="00963ECD">
      <w:pPr>
        <w:pStyle w:val="Paragraphedeliste1"/>
        <w:numPr>
          <w:ilvl w:val="0"/>
          <w:numId w:val="2"/>
        </w:numPr>
        <w:jc w:val="both"/>
      </w:pPr>
      <w:r>
        <w:rPr>
          <w:rFonts w:asciiTheme="minorHAnsi" w:hAnsiTheme="minorHAnsi"/>
          <w:sz w:val="24"/>
          <w:szCs w:val="24"/>
        </w:rPr>
        <w:t>La quantité vendue départ-cave (quantité de fromages et/ou nombre de meules) des années précédentes et son évolution pour les fromages laitiers.</w:t>
      </w:r>
    </w:p>
    <w:p w14:paraId="08BBA9C8" w14:textId="6218C570" w:rsidR="00685E04" w:rsidRDefault="00963ECD">
      <w:pPr>
        <w:pStyle w:val="Paragraphedeliste1"/>
        <w:numPr>
          <w:ilvl w:val="0"/>
          <w:numId w:val="2"/>
        </w:numPr>
        <w:jc w:val="both"/>
      </w:pPr>
      <w:r>
        <w:rPr>
          <w:rFonts w:asciiTheme="minorHAnsi" w:hAnsiTheme="minorHAnsi"/>
          <w:sz w:val="24"/>
          <w:szCs w:val="24"/>
        </w:rPr>
        <w:t>Le nombre de meules vendues des années précédentes et son évolution pour les fromages laitiers.</w:t>
      </w:r>
    </w:p>
    <w:p w14:paraId="226D176E" w14:textId="0CC251AD" w:rsidR="00685E04" w:rsidRDefault="00963ECD">
      <w:pPr>
        <w:pStyle w:val="Paragraphedeliste1"/>
        <w:numPr>
          <w:ilvl w:val="0"/>
          <w:numId w:val="2"/>
        </w:numPr>
        <w:jc w:val="both"/>
      </w:pPr>
      <w:r>
        <w:rPr>
          <w:rFonts w:asciiTheme="minorHAnsi" w:hAnsiTheme="minorHAnsi"/>
          <w:sz w:val="24"/>
          <w:szCs w:val="24"/>
        </w:rPr>
        <w:t>La quantité vendue à l’export des années précédentes et son évolution pour les fromages laitiers.</w:t>
      </w:r>
    </w:p>
    <w:p w14:paraId="4E288C29" w14:textId="15C42168" w:rsidR="00685E04" w:rsidRDefault="00963ECD">
      <w:pPr>
        <w:pStyle w:val="Paragraphedeliste1"/>
        <w:numPr>
          <w:ilvl w:val="0"/>
          <w:numId w:val="2"/>
        </w:numPr>
        <w:jc w:val="both"/>
      </w:pPr>
      <w:r>
        <w:rPr>
          <w:rFonts w:asciiTheme="minorHAnsi" w:hAnsiTheme="minorHAnsi"/>
          <w:sz w:val="24"/>
          <w:szCs w:val="24"/>
        </w:rPr>
        <w:t>Les quantités de fromages déclassés pour les fromages laitiers et fermiers.</w:t>
      </w:r>
    </w:p>
    <w:p w14:paraId="0495D964" w14:textId="2042582B" w:rsidR="00685E04" w:rsidRDefault="00963ECD">
      <w:pPr>
        <w:pStyle w:val="Paragraphedeliste1"/>
        <w:numPr>
          <w:ilvl w:val="0"/>
          <w:numId w:val="2"/>
        </w:numPr>
        <w:jc w:val="both"/>
      </w:pPr>
      <w:r>
        <w:rPr>
          <w:rFonts w:asciiTheme="minorHAnsi" w:hAnsiTheme="minorHAnsi"/>
          <w:sz w:val="24"/>
          <w:szCs w:val="24"/>
        </w:rPr>
        <w:t xml:space="preserve">L’évolution des ventes </w:t>
      </w:r>
      <w:r w:rsidR="00EC0D20">
        <w:rPr>
          <w:rFonts w:asciiTheme="minorHAnsi" w:hAnsiTheme="minorHAnsi"/>
          <w:sz w:val="24"/>
          <w:szCs w:val="24"/>
        </w:rPr>
        <w:t xml:space="preserve">globales </w:t>
      </w:r>
      <w:r>
        <w:rPr>
          <w:rFonts w:asciiTheme="minorHAnsi" w:hAnsiTheme="minorHAnsi"/>
          <w:sz w:val="24"/>
          <w:szCs w:val="24"/>
        </w:rPr>
        <w:t>en grandes et moyennes surfaces (GMS).</w:t>
      </w:r>
    </w:p>
    <w:p w14:paraId="03C1724D" w14:textId="10902E66" w:rsidR="00685E04" w:rsidRDefault="00963ECD">
      <w:pPr>
        <w:pStyle w:val="Paragraphedeliste1"/>
        <w:numPr>
          <w:ilvl w:val="0"/>
          <w:numId w:val="2"/>
        </w:numPr>
        <w:jc w:val="both"/>
      </w:pPr>
      <w:r>
        <w:rPr>
          <w:rFonts w:asciiTheme="minorHAnsi" w:hAnsiTheme="minorHAnsi"/>
          <w:sz w:val="24"/>
          <w:szCs w:val="24"/>
        </w:rPr>
        <w:t xml:space="preserve">L’évolution </w:t>
      </w:r>
      <w:r w:rsidR="00337C43">
        <w:rPr>
          <w:rFonts w:asciiTheme="minorHAnsi" w:hAnsiTheme="minorHAnsi"/>
          <w:sz w:val="24"/>
          <w:szCs w:val="24"/>
        </w:rPr>
        <w:t xml:space="preserve">du </w:t>
      </w:r>
      <w:r>
        <w:rPr>
          <w:rFonts w:asciiTheme="minorHAnsi" w:hAnsiTheme="minorHAnsi"/>
          <w:sz w:val="24"/>
          <w:szCs w:val="24"/>
        </w:rPr>
        <w:t xml:space="preserve">prix de vente consommateur </w:t>
      </w:r>
      <w:r w:rsidR="00EC0D20">
        <w:rPr>
          <w:rFonts w:asciiTheme="minorHAnsi" w:hAnsiTheme="minorHAnsi"/>
          <w:sz w:val="24"/>
          <w:szCs w:val="24"/>
        </w:rPr>
        <w:t xml:space="preserve">global </w:t>
      </w:r>
      <w:r>
        <w:rPr>
          <w:rFonts w:asciiTheme="minorHAnsi" w:hAnsiTheme="minorHAnsi"/>
          <w:sz w:val="24"/>
          <w:szCs w:val="24"/>
        </w:rPr>
        <w:t>en GMS.</w:t>
      </w:r>
    </w:p>
    <w:p w14:paraId="2F4AA474" w14:textId="2C3D24BE" w:rsidR="00685E04" w:rsidRDefault="00963ECD">
      <w:pPr>
        <w:pStyle w:val="Paragraphedeliste1"/>
        <w:numPr>
          <w:ilvl w:val="0"/>
          <w:numId w:val="2"/>
        </w:numPr>
        <w:jc w:val="both"/>
      </w:pPr>
      <w:r>
        <w:rPr>
          <w:rFonts w:asciiTheme="minorHAnsi" w:hAnsiTheme="minorHAnsi"/>
          <w:sz w:val="24"/>
          <w:szCs w:val="24"/>
        </w:rPr>
        <w:lastRenderedPageBreak/>
        <w:t xml:space="preserve">L’évolution du référencement </w:t>
      </w:r>
      <w:r w:rsidR="00EC0D20">
        <w:rPr>
          <w:rFonts w:asciiTheme="minorHAnsi" w:hAnsiTheme="minorHAnsi"/>
          <w:sz w:val="24"/>
          <w:szCs w:val="24"/>
        </w:rPr>
        <w:t xml:space="preserve">global </w:t>
      </w:r>
      <w:r>
        <w:rPr>
          <w:rFonts w:asciiTheme="minorHAnsi" w:hAnsiTheme="minorHAnsi"/>
          <w:sz w:val="24"/>
          <w:szCs w:val="24"/>
        </w:rPr>
        <w:t>en GMS.</w:t>
      </w:r>
    </w:p>
    <w:p w14:paraId="07DE618B" w14:textId="41292C5B" w:rsidR="00685E04" w:rsidRDefault="00963ECD">
      <w:pPr>
        <w:pStyle w:val="Paragraphedeliste1"/>
        <w:numPr>
          <w:ilvl w:val="0"/>
          <w:numId w:val="2"/>
        </w:numPr>
        <w:jc w:val="both"/>
        <w:rPr>
          <w:rFonts w:asciiTheme="minorHAnsi" w:hAnsiTheme="minorHAnsi"/>
          <w:sz w:val="24"/>
          <w:szCs w:val="24"/>
        </w:rPr>
      </w:pPr>
      <w:r>
        <w:rPr>
          <w:rFonts w:asciiTheme="minorHAnsi" w:hAnsiTheme="minorHAnsi"/>
          <w:sz w:val="24"/>
          <w:szCs w:val="24"/>
        </w:rPr>
        <w:t>L’évolution annuelle des prix départ-cave pour l’Abondance laitier et fermier.</w:t>
      </w:r>
    </w:p>
    <w:p w14:paraId="2C64A1D4" w14:textId="63977F31" w:rsidR="00685E04" w:rsidRDefault="00963ECD">
      <w:pPr>
        <w:pStyle w:val="Paragraphedeliste1"/>
        <w:ind w:left="0"/>
        <w:jc w:val="both"/>
        <w:rPr>
          <w:rFonts w:asciiTheme="minorHAnsi" w:hAnsiTheme="minorHAnsi"/>
          <w:sz w:val="24"/>
          <w:szCs w:val="24"/>
        </w:rPr>
      </w:pPr>
      <w:r>
        <w:rPr>
          <w:rFonts w:asciiTheme="minorHAnsi" w:hAnsiTheme="minorHAnsi"/>
          <w:sz w:val="24"/>
          <w:szCs w:val="24"/>
        </w:rPr>
        <w:t>L’étude de ces données permet au SIFA de réaliser un diagnostic sur la santé de la filière en évaluant l’adéquation de l’offre à la demande et d’estimer les potentialités du marché.</w:t>
      </w:r>
    </w:p>
    <w:p w14:paraId="2BA0FA4A" w14:textId="77777777" w:rsidR="00685E04" w:rsidRDefault="00963ECD">
      <w:pPr>
        <w:widowControl w:val="0"/>
        <w:spacing w:after="240"/>
        <w:jc w:val="both"/>
      </w:pPr>
      <w:r>
        <w:t>Pour une année donnée, au regard des données économiques, le SIFA peut accepter une croissance de production supérieure aux demandes du marché si les stocks sont bas et doivent être reconstitués, ou la limiter si les stocks sont lourds.</w:t>
      </w:r>
    </w:p>
    <w:p w14:paraId="59AEAC2B" w14:textId="77777777" w:rsidR="00685E04" w:rsidRDefault="00963ECD">
      <w:pPr>
        <w:widowControl w:val="0"/>
        <w:spacing w:after="240"/>
        <w:jc w:val="both"/>
      </w:pPr>
      <w:r>
        <w:t>Une croissance de production sera possible lorsque la modération du niveau des stocks le permettra, tout en gardant le marché ouvert à de nouveaux opérateurs.</w:t>
      </w:r>
    </w:p>
    <w:p w14:paraId="1D0FCBCF" w14:textId="77777777" w:rsidR="00685E04" w:rsidRDefault="00963ECD">
      <w:pPr>
        <w:pStyle w:val="Titre1"/>
        <w:numPr>
          <w:ilvl w:val="0"/>
          <w:numId w:val="5"/>
        </w:numPr>
        <w:rPr>
          <w:u w:val="single"/>
        </w:rPr>
      </w:pPr>
      <w:bookmarkStart w:id="4" w:name="_Toc383267572"/>
      <w:bookmarkStart w:id="5" w:name="_Toc351042970"/>
      <w:bookmarkStart w:id="6" w:name="_Toc348965863"/>
      <w:bookmarkStart w:id="7" w:name="_Toc536180034"/>
      <w:bookmarkEnd w:id="4"/>
      <w:bookmarkEnd w:id="5"/>
      <w:bookmarkEnd w:id="6"/>
      <w:r>
        <w:t>Détermination de la référence de base</w:t>
      </w:r>
      <w:bookmarkEnd w:id="7"/>
    </w:p>
    <w:p w14:paraId="020A840B" w14:textId="77777777" w:rsidR="00685E04" w:rsidRDefault="00685E04">
      <w:pPr>
        <w:jc w:val="both"/>
        <w:rPr>
          <w:u w:val="single"/>
        </w:rPr>
      </w:pPr>
    </w:p>
    <w:p w14:paraId="6878442E" w14:textId="77777777" w:rsidR="00685E04" w:rsidRDefault="00963ECD">
      <w:pPr>
        <w:jc w:val="both"/>
        <w:rPr>
          <w:shd w:val="clear" w:color="auto" w:fill="FFFFFF"/>
        </w:rPr>
      </w:pPr>
      <w:r>
        <w:rPr>
          <w:u w:val="single"/>
        </w:rPr>
        <w:t>La référence de base est attribuée à l’opérateur</w:t>
      </w:r>
      <w:r>
        <w:t xml:space="preserve">, et non à l’atelier. Le cahier </w:t>
      </w:r>
      <w:r>
        <w:rPr>
          <w:shd w:val="clear" w:color="auto" w:fill="FFFFFF"/>
        </w:rPr>
        <w:t xml:space="preserve">des charges de l’AOP Abondance stipule que les ateliers laitiers sont limités à 5 000 000 litres de lait transformés par an. Compte tenu de cette mesure qui conduit à ce qu’un opérateur puisse posséder plusieurs ateliers, il est plus logique de laisser la possibilité à l’opérateur de répartir sa référence à sa convenance sur les ateliers qui travaillent. </w:t>
      </w:r>
    </w:p>
    <w:p w14:paraId="68DC7CAA" w14:textId="77777777" w:rsidR="00685E04" w:rsidRDefault="00685E04">
      <w:pPr>
        <w:jc w:val="both"/>
        <w:rPr>
          <w:shd w:val="clear" w:color="auto" w:fill="FFFFFF"/>
        </w:rPr>
      </w:pPr>
    </w:p>
    <w:p w14:paraId="6DA78270" w14:textId="77777777" w:rsidR="00685E04" w:rsidRDefault="00963ECD">
      <w:pPr>
        <w:widowControl w:val="0"/>
        <w:spacing w:after="240"/>
        <w:jc w:val="both"/>
      </w:pPr>
      <w:r>
        <w:rPr>
          <w:shd w:val="clear" w:color="auto" w:fill="FFFFFF"/>
        </w:rPr>
        <w:t xml:space="preserve">Pour une campagne donnée, </w:t>
      </w:r>
      <w:r>
        <w:rPr>
          <w:b/>
          <w:shd w:val="clear" w:color="auto" w:fill="FFFFFF"/>
        </w:rPr>
        <w:t>la référence de base d’un opérateur est égale à la moyenne des nombres de meules de fromage Abondance qu’il a fabriquée sur les trois dernières années civiles.</w:t>
      </w:r>
    </w:p>
    <w:p w14:paraId="4E43E61E" w14:textId="77777777" w:rsidR="00685E04" w:rsidRDefault="00963ECD">
      <w:pPr>
        <w:widowControl w:val="0"/>
        <w:spacing w:after="240"/>
        <w:jc w:val="both"/>
        <w:rPr>
          <w:shd w:val="clear" w:color="auto" w:fill="FFFFFF"/>
        </w:rPr>
      </w:pPr>
      <w:r>
        <w:rPr>
          <w:shd w:val="clear" w:color="auto" w:fill="FFFFFF"/>
        </w:rPr>
        <w:t xml:space="preserve">S'agissant des opérateurs ayant moins de trois années d'historique de production : </w:t>
      </w:r>
    </w:p>
    <w:p w14:paraId="1DDFE83D" w14:textId="77777777" w:rsidR="00685E04" w:rsidRDefault="00963ECD">
      <w:pPr>
        <w:spacing w:line="252" w:lineRule="auto"/>
      </w:pPr>
      <w:r>
        <w:rPr>
          <w:i/>
        </w:rPr>
        <w:t>- Pour un atelier fromager créé en cours d'année N-1 :</w:t>
      </w:r>
    </w:p>
    <w:p w14:paraId="31DD2FBF" w14:textId="6B5B34CC" w:rsidR="00685E04" w:rsidRDefault="00963ECD">
      <w:pPr>
        <w:numPr>
          <w:ilvl w:val="0"/>
          <w:numId w:val="11"/>
        </w:numPr>
        <w:spacing w:line="252" w:lineRule="auto"/>
        <w:jc w:val="both"/>
      </w:pPr>
      <w:r>
        <w:t>Si sa fabrication N-1 dépasse le forfait prévu dans le tableau ci-dessous, sa référence de base équivaudra à sa fabrication N-1.</w:t>
      </w:r>
    </w:p>
    <w:p w14:paraId="0D7D8616" w14:textId="77777777" w:rsidR="00685E04" w:rsidRDefault="00963ECD">
      <w:pPr>
        <w:numPr>
          <w:ilvl w:val="0"/>
          <w:numId w:val="11"/>
        </w:numPr>
        <w:spacing w:line="252" w:lineRule="auto"/>
        <w:jc w:val="both"/>
      </w:pPr>
      <w:r>
        <w:t>Si sa fabrication N-1 ne dépasse pas ledit forfait, sa référence de base équivaudra au forfait prévu dans le tableau ci-dessous.</w:t>
      </w:r>
    </w:p>
    <w:p w14:paraId="238DA959" w14:textId="77777777" w:rsidR="00685E04" w:rsidRDefault="00685E04">
      <w:pPr>
        <w:spacing w:line="252" w:lineRule="auto"/>
      </w:pPr>
    </w:p>
    <w:p w14:paraId="0CA68D62" w14:textId="77777777" w:rsidR="00685E04" w:rsidRDefault="00963ECD">
      <w:pPr>
        <w:spacing w:line="252" w:lineRule="auto"/>
      </w:pPr>
      <w:r>
        <w:rPr>
          <w:i/>
        </w:rPr>
        <w:t>- Pour un atelier fromager créé durant les années N-2 et N-3 :</w:t>
      </w:r>
    </w:p>
    <w:p w14:paraId="6C8A981B" w14:textId="25057185" w:rsidR="00685E04" w:rsidRDefault="00963ECD">
      <w:pPr>
        <w:numPr>
          <w:ilvl w:val="0"/>
          <w:numId w:val="11"/>
        </w:numPr>
        <w:spacing w:line="252" w:lineRule="auto"/>
        <w:jc w:val="both"/>
      </w:pPr>
      <w:r>
        <w:t>Si au moins une de ses fabrications annuelles dépasse le forfait prévu dans le tableau ci-dessous, sa référence de base équivaudra sa meilleure année de fabrication.</w:t>
      </w:r>
    </w:p>
    <w:p w14:paraId="1BFA23CB" w14:textId="77777777" w:rsidR="00685E04" w:rsidRDefault="00963ECD">
      <w:pPr>
        <w:numPr>
          <w:ilvl w:val="0"/>
          <w:numId w:val="11"/>
        </w:numPr>
        <w:spacing w:line="252" w:lineRule="auto"/>
        <w:jc w:val="both"/>
      </w:pPr>
      <w:r>
        <w:t>Si aucune de ses fabrications annuelles ne dépasse ledit forfait, sa référence de base équivaudra au forfait du tableau ci-dessous.</w:t>
      </w:r>
    </w:p>
    <w:p w14:paraId="663BF072" w14:textId="77777777" w:rsidR="00685E04" w:rsidRDefault="00685E04">
      <w:pPr>
        <w:spacing w:line="252" w:lineRule="auto"/>
        <w:jc w:val="both"/>
      </w:pPr>
    </w:p>
    <w:p w14:paraId="24842D1E" w14:textId="77777777" w:rsidR="00685E04" w:rsidRDefault="00685E04">
      <w:pPr>
        <w:spacing w:line="252" w:lineRule="auto"/>
        <w:jc w:val="both"/>
      </w:pPr>
    </w:p>
    <w:p w14:paraId="7DC39A5B" w14:textId="77777777" w:rsidR="00685E04" w:rsidRDefault="00685E04">
      <w:pPr>
        <w:spacing w:line="252" w:lineRule="auto"/>
      </w:pPr>
    </w:p>
    <w:tbl>
      <w:tblPr>
        <w:tblW w:w="9636" w:type="dxa"/>
        <w:tblInd w:w="22" w:type="dxa"/>
        <w:tblBorders>
          <w:top w:val="single" w:sz="4" w:space="0" w:color="00000A"/>
          <w:left w:val="single" w:sz="4" w:space="0" w:color="00000A"/>
          <w:bottom w:val="single" w:sz="4" w:space="0" w:color="00000A"/>
          <w:insideH w:val="single" w:sz="4" w:space="0" w:color="00000A"/>
        </w:tblBorders>
        <w:tblCellMar>
          <w:left w:w="3" w:type="dxa"/>
        </w:tblCellMar>
        <w:tblLook w:val="0000" w:firstRow="0" w:lastRow="0" w:firstColumn="0" w:lastColumn="0" w:noHBand="0" w:noVBand="0"/>
      </w:tblPr>
      <w:tblGrid>
        <w:gridCol w:w="5215"/>
        <w:gridCol w:w="2217"/>
        <w:gridCol w:w="2204"/>
      </w:tblGrid>
      <w:tr w:rsidR="00685E04" w14:paraId="2041CDCE" w14:textId="77777777">
        <w:tc>
          <w:tcPr>
            <w:tcW w:w="5215" w:type="dxa"/>
            <w:tcBorders>
              <w:top w:val="single" w:sz="4" w:space="0" w:color="00000A"/>
              <w:left w:val="single" w:sz="4" w:space="0" w:color="00000A"/>
              <w:bottom w:val="single" w:sz="4" w:space="0" w:color="00000A"/>
            </w:tcBorders>
            <w:shd w:val="clear" w:color="auto" w:fill="FFFFFF"/>
            <w:tcMar>
              <w:left w:w="3" w:type="dxa"/>
            </w:tcMar>
          </w:tcPr>
          <w:p w14:paraId="540599AE" w14:textId="77777777" w:rsidR="00685E04" w:rsidRDefault="00685E04">
            <w:pPr>
              <w:snapToGrid w:val="0"/>
            </w:pPr>
          </w:p>
        </w:tc>
        <w:tc>
          <w:tcPr>
            <w:tcW w:w="2217" w:type="dxa"/>
            <w:tcBorders>
              <w:top w:val="single" w:sz="4" w:space="0" w:color="00000A"/>
              <w:left w:val="single" w:sz="4" w:space="0" w:color="00000A"/>
              <w:bottom w:val="single" w:sz="4" w:space="0" w:color="00000A"/>
            </w:tcBorders>
            <w:shd w:val="clear" w:color="auto" w:fill="FFFFFF"/>
            <w:tcMar>
              <w:left w:w="3" w:type="dxa"/>
            </w:tcMar>
          </w:tcPr>
          <w:p w14:paraId="75E59587" w14:textId="77777777" w:rsidR="00685E04" w:rsidRDefault="00963ECD">
            <w:pPr>
              <w:jc w:val="center"/>
              <w:rPr>
                <w:b/>
              </w:rPr>
            </w:pPr>
            <w:r>
              <w:rPr>
                <w:b/>
              </w:rPr>
              <w:t>Fabrication laitière</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3" w:type="dxa"/>
            </w:tcMar>
          </w:tcPr>
          <w:p w14:paraId="03A65CC6" w14:textId="77777777" w:rsidR="00685E04" w:rsidRDefault="00963ECD">
            <w:pPr>
              <w:jc w:val="center"/>
            </w:pPr>
            <w:r>
              <w:rPr>
                <w:b/>
              </w:rPr>
              <w:t>Fabrication fermière</w:t>
            </w:r>
          </w:p>
        </w:tc>
      </w:tr>
      <w:tr w:rsidR="00685E04" w14:paraId="411E014B" w14:textId="77777777">
        <w:tc>
          <w:tcPr>
            <w:tcW w:w="5215" w:type="dxa"/>
            <w:tcBorders>
              <w:top w:val="single" w:sz="4" w:space="0" w:color="00000A"/>
              <w:left w:val="single" w:sz="4" w:space="0" w:color="00000A"/>
              <w:bottom w:val="single" w:sz="4" w:space="0" w:color="00000A"/>
            </w:tcBorders>
            <w:shd w:val="clear" w:color="auto" w:fill="FFFFFF"/>
            <w:tcMar>
              <w:left w:w="3" w:type="dxa"/>
            </w:tcMar>
          </w:tcPr>
          <w:p w14:paraId="17812251" w14:textId="77777777" w:rsidR="00685E04" w:rsidRDefault="00963ECD">
            <w:r>
              <w:rPr>
                <w:b/>
              </w:rPr>
              <w:t>Production principale</w:t>
            </w:r>
            <w:r>
              <w:t xml:space="preserve"> : </w:t>
            </w:r>
          </w:p>
          <w:p w14:paraId="500E4608" w14:textId="77777777" w:rsidR="00685E04" w:rsidRDefault="00963ECD">
            <w:r>
              <w:t>La fabrication d’Abondance est la principale production de l’atelier concerné par l’habilitation.</w:t>
            </w:r>
          </w:p>
        </w:tc>
        <w:tc>
          <w:tcPr>
            <w:tcW w:w="2217" w:type="dxa"/>
            <w:tcBorders>
              <w:top w:val="single" w:sz="4" w:space="0" w:color="00000A"/>
              <w:left w:val="single" w:sz="4" w:space="0" w:color="00000A"/>
              <w:bottom w:val="single" w:sz="4" w:space="0" w:color="00000A"/>
            </w:tcBorders>
            <w:shd w:val="clear" w:color="auto" w:fill="FFFFFF"/>
            <w:tcMar>
              <w:left w:w="3" w:type="dxa"/>
            </w:tcMar>
            <w:vAlign w:val="center"/>
          </w:tcPr>
          <w:p w14:paraId="4EA17B1F" w14:textId="77777777" w:rsidR="00685E04" w:rsidRDefault="00963ECD">
            <w:pPr>
              <w:jc w:val="center"/>
            </w:pPr>
            <w:r>
              <w:t>40 T</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23FD226A" w14:textId="77777777" w:rsidR="00685E04" w:rsidRDefault="00963ECD">
            <w:pPr>
              <w:jc w:val="center"/>
            </w:pPr>
            <w:r>
              <w:t>6 T</w:t>
            </w:r>
          </w:p>
        </w:tc>
      </w:tr>
      <w:tr w:rsidR="00685E04" w14:paraId="0FDE90B1" w14:textId="77777777">
        <w:tc>
          <w:tcPr>
            <w:tcW w:w="5215" w:type="dxa"/>
            <w:tcBorders>
              <w:top w:val="single" w:sz="4" w:space="0" w:color="00000A"/>
              <w:left w:val="single" w:sz="4" w:space="0" w:color="00000A"/>
              <w:bottom w:val="single" w:sz="4" w:space="0" w:color="00000A"/>
            </w:tcBorders>
            <w:shd w:val="clear" w:color="auto" w:fill="FFFFFF"/>
            <w:tcMar>
              <w:left w:w="3" w:type="dxa"/>
            </w:tcMar>
          </w:tcPr>
          <w:p w14:paraId="37246A58" w14:textId="77777777" w:rsidR="00685E04" w:rsidRDefault="00963ECD">
            <w:r>
              <w:rPr>
                <w:b/>
              </w:rPr>
              <w:t>Production secondaire</w:t>
            </w:r>
            <w:r>
              <w:t xml:space="preserve"> : </w:t>
            </w:r>
          </w:p>
          <w:p w14:paraId="0B10927B" w14:textId="77777777" w:rsidR="00685E04" w:rsidRDefault="00963ECD">
            <w:r>
              <w:t>La fabrication d’Abondance est une production annexe de l’atelier concerné par l’habilitation.</w:t>
            </w:r>
          </w:p>
        </w:tc>
        <w:tc>
          <w:tcPr>
            <w:tcW w:w="2217" w:type="dxa"/>
            <w:tcBorders>
              <w:top w:val="single" w:sz="4" w:space="0" w:color="00000A"/>
              <w:left w:val="single" w:sz="4" w:space="0" w:color="00000A"/>
              <w:bottom w:val="single" w:sz="4" w:space="0" w:color="00000A"/>
            </w:tcBorders>
            <w:shd w:val="clear" w:color="auto" w:fill="FFFFFF"/>
            <w:tcMar>
              <w:left w:w="3" w:type="dxa"/>
            </w:tcMar>
            <w:vAlign w:val="center"/>
          </w:tcPr>
          <w:p w14:paraId="15D02A5D" w14:textId="77777777" w:rsidR="00685E04" w:rsidRDefault="00963ECD">
            <w:pPr>
              <w:jc w:val="center"/>
            </w:pPr>
            <w:r>
              <w:t>20 T</w:t>
            </w:r>
          </w:p>
        </w:tc>
        <w:tc>
          <w:tcPr>
            <w:tcW w:w="2204"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6DF5F5AB" w14:textId="77777777" w:rsidR="00685E04" w:rsidRDefault="00963ECD">
            <w:pPr>
              <w:jc w:val="center"/>
            </w:pPr>
            <w:r>
              <w:t>2 T</w:t>
            </w:r>
          </w:p>
        </w:tc>
      </w:tr>
    </w:tbl>
    <w:p w14:paraId="0133A62C" w14:textId="77777777" w:rsidR="00EC0D20" w:rsidRDefault="00EC0D20" w:rsidP="00EC0D20">
      <w:pPr>
        <w:pStyle w:val="Titre1"/>
        <w:numPr>
          <w:ilvl w:val="0"/>
          <w:numId w:val="5"/>
        </w:numPr>
        <w:jc w:val="both"/>
      </w:pPr>
      <w:bookmarkStart w:id="8" w:name="_Toc383267573"/>
      <w:bookmarkStart w:id="9" w:name="_Toc351042971"/>
      <w:bookmarkStart w:id="10" w:name="_Toc348965864"/>
      <w:bookmarkStart w:id="11" w:name="_Toc536180035"/>
      <w:bookmarkEnd w:id="8"/>
      <w:bookmarkEnd w:id="9"/>
      <w:bookmarkEnd w:id="10"/>
      <w:r>
        <w:lastRenderedPageBreak/>
        <w:t>Règles de détermination du taux additionnel de croissance pour les ateliers en place sur la campagne N-1</w:t>
      </w:r>
      <w:bookmarkEnd w:id="11"/>
    </w:p>
    <w:p w14:paraId="357AA334" w14:textId="77777777" w:rsidR="00EC0D20" w:rsidRDefault="00EC0D20" w:rsidP="00EC0D20">
      <w:pPr>
        <w:jc w:val="both"/>
        <w:rPr>
          <w:b/>
        </w:rPr>
      </w:pPr>
    </w:p>
    <w:p w14:paraId="3CD3C4BA" w14:textId="77777777" w:rsidR="00EC0D20" w:rsidRDefault="00EC0D20" w:rsidP="00EC0D20">
      <w:pPr>
        <w:widowControl w:val="0"/>
        <w:spacing w:after="240"/>
        <w:jc w:val="both"/>
      </w:pPr>
      <w:r>
        <w:t xml:space="preserve">A la référence de base de chaque atelier et aux volumes attribués dans le cadre de l'ouverture s'ajoute le taux additionnel de croissance. </w:t>
      </w:r>
    </w:p>
    <w:p w14:paraId="232EF9C6" w14:textId="77777777" w:rsidR="00EC0D20" w:rsidRDefault="00EC0D20" w:rsidP="00EC0D20">
      <w:pPr>
        <w:widowControl w:val="0"/>
        <w:spacing w:after="240"/>
        <w:jc w:val="both"/>
      </w:pPr>
      <w:r>
        <w:t>La notion de croissance est à distinguer de la notion d’ouverture, puisque pour certaines campagnes, la croissance peut être inférieure à l’ouverture, ce qui signifie que les opérateurs en place acceptent de réduire leur production pour maintenir un marché ouvert.</w:t>
      </w:r>
    </w:p>
    <w:p w14:paraId="5C30F17A" w14:textId="77777777" w:rsidR="00EC0D20" w:rsidRDefault="00EC0D20" w:rsidP="00EC0D20">
      <w:pPr>
        <w:pStyle w:val="Titre2"/>
        <w:numPr>
          <w:ilvl w:val="1"/>
          <w:numId w:val="5"/>
        </w:numPr>
      </w:pPr>
      <w:bookmarkStart w:id="12" w:name="_Toc536180036"/>
      <w:r>
        <w:t>Détermination du taux additionnel de croissance</w:t>
      </w:r>
      <w:bookmarkEnd w:id="12"/>
    </w:p>
    <w:p w14:paraId="5CACB946" w14:textId="77777777" w:rsidR="00EC0D20" w:rsidRDefault="00EC0D20" w:rsidP="00EC0D20"/>
    <w:p w14:paraId="694C981B" w14:textId="77777777" w:rsidR="00EC0D20" w:rsidRDefault="00EC0D20" w:rsidP="00EC0D20">
      <w:pPr>
        <w:widowControl w:val="0"/>
        <w:spacing w:after="240"/>
        <w:jc w:val="both"/>
      </w:pPr>
      <w:r>
        <w:t>En début de chaque campagne, le Conseil d’administration du SIFA analyse les indicateurs de conjoncture :</w:t>
      </w:r>
    </w:p>
    <w:p w14:paraId="3A74304E" w14:textId="77777777" w:rsidR="00EC0D20" w:rsidRDefault="00EC0D20" w:rsidP="00EC0D20">
      <w:pPr>
        <w:pStyle w:val="Paragraphedeliste1"/>
        <w:widowControl w:val="0"/>
        <w:numPr>
          <w:ilvl w:val="0"/>
          <w:numId w:val="13"/>
        </w:numPr>
        <w:spacing w:after="240"/>
        <w:ind w:left="567"/>
        <w:jc w:val="both"/>
      </w:pPr>
      <w:r>
        <w:rPr>
          <w:rFonts w:asciiTheme="minorHAnsi" w:hAnsiTheme="minorHAnsi"/>
          <w:sz w:val="24"/>
          <w:szCs w:val="24"/>
        </w:rPr>
        <w:t>La production des campagnes précédentes et son évolution.</w:t>
      </w:r>
    </w:p>
    <w:p w14:paraId="166DFAC7" w14:textId="77777777" w:rsidR="00EC0D20" w:rsidRDefault="00EC0D20" w:rsidP="00EC0D20">
      <w:pPr>
        <w:pStyle w:val="Paragraphedeliste1"/>
        <w:widowControl w:val="0"/>
        <w:numPr>
          <w:ilvl w:val="0"/>
          <w:numId w:val="13"/>
        </w:numPr>
        <w:spacing w:after="240"/>
        <w:ind w:left="567"/>
        <w:jc w:val="both"/>
      </w:pPr>
      <w:r>
        <w:rPr>
          <w:rFonts w:asciiTheme="minorHAnsi" w:hAnsiTheme="minorHAnsi"/>
          <w:sz w:val="24"/>
          <w:szCs w:val="24"/>
        </w:rPr>
        <w:t>Les volumes de ventes des campagnes précédentes et leurs évolutions.</w:t>
      </w:r>
    </w:p>
    <w:p w14:paraId="143A60FD" w14:textId="77777777" w:rsidR="00EC0D20" w:rsidRDefault="00EC0D20" w:rsidP="00EC0D20">
      <w:pPr>
        <w:pStyle w:val="Paragraphedeliste1"/>
        <w:widowControl w:val="0"/>
        <w:numPr>
          <w:ilvl w:val="0"/>
          <w:numId w:val="13"/>
        </w:numPr>
        <w:spacing w:after="240"/>
        <w:ind w:left="567"/>
        <w:jc w:val="both"/>
      </w:pPr>
      <w:r>
        <w:rPr>
          <w:rFonts w:asciiTheme="minorHAnsi" w:hAnsiTheme="minorHAnsi"/>
          <w:sz w:val="24"/>
          <w:szCs w:val="24"/>
        </w:rPr>
        <w:t>Les ventes à l’export des campagnes précédentes et leurs évolutions.</w:t>
      </w:r>
    </w:p>
    <w:p w14:paraId="1EA78255" w14:textId="77777777" w:rsidR="00EC0D20" w:rsidRDefault="00EC0D20" w:rsidP="00EC0D20">
      <w:pPr>
        <w:pStyle w:val="Paragraphedeliste1"/>
        <w:widowControl w:val="0"/>
        <w:numPr>
          <w:ilvl w:val="0"/>
          <w:numId w:val="13"/>
        </w:numPr>
        <w:spacing w:after="240"/>
        <w:ind w:left="567"/>
        <w:jc w:val="both"/>
      </w:pPr>
      <w:r>
        <w:rPr>
          <w:rFonts w:asciiTheme="minorHAnsi" w:hAnsiTheme="minorHAnsi"/>
          <w:sz w:val="24"/>
          <w:szCs w:val="24"/>
        </w:rPr>
        <w:t>Les données de panels distributeurs en GMS (évolution des ventes, des prix consommateurs, du référencement...).</w:t>
      </w:r>
    </w:p>
    <w:p w14:paraId="1B3FC81B" w14:textId="77777777" w:rsidR="00EC0D20" w:rsidRDefault="00EC0D20" w:rsidP="00EC0D20">
      <w:pPr>
        <w:pStyle w:val="Paragraphedeliste1"/>
        <w:widowControl w:val="0"/>
        <w:numPr>
          <w:ilvl w:val="0"/>
          <w:numId w:val="13"/>
        </w:numPr>
        <w:spacing w:after="240"/>
        <w:ind w:left="567"/>
        <w:jc w:val="both"/>
      </w:pPr>
      <w:r>
        <w:rPr>
          <w:rFonts w:asciiTheme="minorHAnsi" w:hAnsiTheme="minorHAnsi"/>
          <w:sz w:val="24"/>
          <w:szCs w:val="24"/>
        </w:rPr>
        <w:t>Les quantités de fromages déclassés des campagnes précédentes et leurs évolutions.</w:t>
      </w:r>
    </w:p>
    <w:p w14:paraId="78EC6363" w14:textId="77777777" w:rsidR="00EC0D20" w:rsidRDefault="00EC0D20" w:rsidP="00EC0D20">
      <w:pPr>
        <w:pStyle w:val="Paragraphedeliste1"/>
        <w:widowControl w:val="0"/>
        <w:numPr>
          <w:ilvl w:val="0"/>
          <w:numId w:val="13"/>
        </w:numPr>
        <w:spacing w:after="240"/>
        <w:ind w:left="567"/>
        <w:jc w:val="both"/>
        <w:rPr>
          <w:rFonts w:asciiTheme="minorHAnsi" w:hAnsiTheme="minorHAnsi"/>
          <w:sz w:val="24"/>
          <w:szCs w:val="24"/>
        </w:rPr>
      </w:pPr>
      <w:r>
        <w:rPr>
          <w:rFonts w:asciiTheme="minorHAnsi" w:hAnsiTheme="minorHAnsi"/>
          <w:sz w:val="24"/>
          <w:szCs w:val="24"/>
        </w:rPr>
        <w:t>Tout autre indicateur porté à sa connaissance et qui pourrait indiquer une perturbation du marché.</w:t>
      </w:r>
    </w:p>
    <w:p w14:paraId="1FADB3EB" w14:textId="77777777" w:rsidR="00EC0D20" w:rsidRDefault="00EC0D20" w:rsidP="00EC0D20">
      <w:pPr>
        <w:widowControl w:val="0"/>
        <w:spacing w:after="240"/>
        <w:jc w:val="both"/>
      </w:pPr>
      <w:r>
        <w:t>Au regard de ces informations, le Conseil d’administration fixe un taux additionnel de croissance pour les ateliers laitiers ainsi qu'un taux additionnel de croissance pour les ateliers fermiers. Il pourra être différent entre l’Abondance fermier et l’Abondance laitier compte tenu de la conjoncture propre à chacun et sera identique pour l'ensemble des opérateurs de chaque filière. Il se traduit par un pourcentage appliqué à la référence de base de chaque opérateur et peut être positif, négatif ou nul selon la conjoncture.</w:t>
      </w:r>
    </w:p>
    <w:p w14:paraId="65DC0806" w14:textId="77777777" w:rsidR="00EC0D20" w:rsidRDefault="00EC0D20" w:rsidP="00EC0D20">
      <w:pPr>
        <w:widowControl w:val="0"/>
        <w:spacing w:after="240"/>
        <w:jc w:val="both"/>
      </w:pPr>
      <w:r>
        <w:t>Pour les opérateurs ayant plusieurs ateliers dont un ayant atteint le plafond défini dans le cahier des charges de l’AOP Abondance de 5 millions de litres de lait transformés dans l’année, le tonnage supplémentaire lié au taux additionnel de croissance de cet atelier pourra être réparti au bon vouloir de l'opérateur entre ses autres ateliers.</w:t>
      </w:r>
    </w:p>
    <w:p w14:paraId="452CBD39" w14:textId="77777777" w:rsidR="00EC0D20" w:rsidRDefault="00EC0D20" w:rsidP="00EC0D20">
      <w:pPr>
        <w:pStyle w:val="Titre2"/>
        <w:numPr>
          <w:ilvl w:val="1"/>
          <w:numId w:val="5"/>
        </w:numPr>
      </w:pPr>
      <w:bookmarkStart w:id="13" w:name="_Toc536180037"/>
      <w:r>
        <w:t>Détermination de l’ajustement à mi-campagne pour les ateliers en place sur l’année N-1</w:t>
      </w:r>
      <w:bookmarkEnd w:id="13"/>
    </w:p>
    <w:p w14:paraId="606414E3" w14:textId="77777777" w:rsidR="00EC0D20" w:rsidRDefault="00EC0D20" w:rsidP="00EC0D20"/>
    <w:p w14:paraId="7A8238DB" w14:textId="77777777" w:rsidR="00EC0D20" w:rsidRDefault="00EC0D20" w:rsidP="00EC0D20">
      <w:pPr>
        <w:jc w:val="both"/>
      </w:pPr>
      <w:r>
        <w:t xml:space="preserve">Une </w:t>
      </w:r>
      <w:r>
        <w:rPr>
          <w:b/>
          <w:bCs/>
        </w:rPr>
        <w:t>modulation</w:t>
      </w:r>
      <w:r>
        <w:t xml:space="preserve"> de la référence de campagne pourra être envisagée en milieu de campagne pour les ateliers laitiers et/ou fermiers, afin de faire face à d’éventuels stocks trop importants ou insuffisants.</w:t>
      </w:r>
    </w:p>
    <w:p w14:paraId="70CC1514" w14:textId="77777777" w:rsidR="00EC0D20" w:rsidRDefault="00EC0D20" w:rsidP="00EC0D20">
      <w:pPr>
        <w:jc w:val="both"/>
      </w:pPr>
    </w:p>
    <w:p w14:paraId="60519347" w14:textId="77777777" w:rsidR="00EC0D20" w:rsidRDefault="00EC0D20" w:rsidP="00EC0D20">
      <w:pPr>
        <w:jc w:val="both"/>
      </w:pPr>
      <w:r>
        <w:t xml:space="preserve">Cette modulation est exprimée en pourcentage et peut être positive, négative ou nulle. Elle pourra être différente entre l’Abondance laitier et l’Abondance fermier, en fonction de la </w:t>
      </w:r>
      <w:r>
        <w:lastRenderedPageBreak/>
        <w:t xml:space="preserve">conjoncture qui est propre à chacun. Elle sera appliquée sur la référence de campagne de chaque opérateur en place. </w:t>
      </w:r>
    </w:p>
    <w:p w14:paraId="348C041A" w14:textId="77777777" w:rsidR="00EC0D20" w:rsidRDefault="00EC0D20" w:rsidP="00EC0D20">
      <w:pPr>
        <w:jc w:val="both"/>
      </w:pPr>
    </w:p>
    <w:p w14:paraId="7A863634" w14:textId="77777777" w:rsidR="00EC0D20" w:rsidRDefault="00EC0D20" w:rsidP="00EC0D20">
      <w:pPr>
        <w:jc w:val="both"/>
      </w:pPr>
      <w:r>
        <w:t>Elle sera déterminée par le Conseil d’administration à mi-campagne et portée à la connaissance des opérateurs en semaine 44 de l’année calendaire en cours. Pour établir sa proposition, il tiendra compte des indicateurs de conjoncture et des effets collectifs et individuels qui seront portés à sa connaissance et pourraient perturber le marché de manière ponctuelle. En voici les principaux :</w:t>
      </w:r>
    </w:p>
    <w:p w14:paraId="09DA6427" w14:textId="77777777" w:rsidR="00EC0D20" w:rsidRDefault="00EC0D20" w:rsidP="00EC0D20">
      <w:pPr>
        <w:pStyle w:val="Paragraphedeliste1"/>
        <w:widowControl w:val="0"/>
        <w:numPr>
          <w:ilvl w:val="0"/>
          <w:numId w:val="8"/>
        </w:numPr>
        <w:spacing w:after="240"/>
        <w:jc w:val="both"/>
      </w:pPr>
      <w:r>
        <w:rPr>
          <w:rFonts w:asciiTheme="minorHAnsi" w:hAnsiTheme="minorHAnsi"/>
          <w:sz w:val="24"/>
          <w:szCs w:val="24"/>
        </w:rPr>
        <w:t>Les fabrications et leurs évolutions.</w:t>
      </w:r>
    </w:p>
    <w:p w14:paraId="1A40D801" w14:textId="77777777" w:rsidR="00EC0D20" w:rsidRDefault="00EC0D20" w:rsidP="00EC0D20">
      <w:pPr>
        <w:pStyle w:val="Paragraphedeliste1"/>
        <w:widowControl w:val="0"/>
        <w:numPr>
          <w:ilvl w:val="0"/>
          <w:numId w:val="8"/>
        </w:numPr>
        <w:spacing w:after="240"/>
        <w:jc w:val="both"/>
      </w:pPr>
      <w:r>
        <w:rPr>
          <w:rFonts w:asciiTheme="minorHAnsi" w:hAnsiTheme="minorHAnsi"/>
          <w:sz w:val="24"/>
          <w:szCs w:val="24"/>
        </w:rPr>
        <w:t>Les ventes départ-cave et leurs évolutions.</w:t>
      </w:r>
    </w:p>
    <w:p w14:paraId="44AB5BCE" w14:textId="77777777" w:rsidR="00EC0D20" w:rsidRDefault="00EC0D20" w:rsidP="00EC0D20">
      <w:pPr>
        <w:pStyle w:val="Paragraphedeliste1"/>
        <w:widowControl w:val="0"/>
        <w:numPr>
          <w:ilvl w:val="0"/>
          <w:numId w:val="8"/>
        </w:numPr>
        <w:spacing w:after="240"/>
        <w:jc w:val="both"/>
      </w:pPr>
      <w:r>
        <w:rPr>
          <w:rFonts w:asciiTheme="minorHAnsi" w:hAnsiTheme="minorHAnsi"/>
          <w:sz w:val="24"/>
          <w:szCs w:val="24"/>
        </w:rPr>
        <w:t>Les ventes à l’export et leurs évolutions.</w:t>
      </w:r>
    </w:p>
    <w:p w14:paraId="7CEDC593" w14:textId="77777777" w:rsidR="00EC0D20" w:rsidRDefault="00EC0D20" w:rsidP="00EC0D20">
      <w:pPr>
        <w:pStyle w:val="Paragraphedeliste1"/>
        <w:widowControl w:val="0"/>
        <w:numPr>
          <w:ilvl w:val="0"/>
          <w:numId w:val="8"/>
        </w:numPr>
        <w:spacing w:after="240"/>
        <w:jc w:val="both"/>
      </w:pPr>
      <w:r>
        <w:rPr>
          <w:rFonts w:asciiTheme="minorHAnsi" w:hAnsiTheme="minorHAnsi"/>
          <w:sz w:val="24"/>
          <w:szCs w:val="24"/>
        </w:rPr>
        <w:t>Les données de panels distributeurs en GMS (évolution des ventes, des prix consommateurs, du référencement...).</w:t>
      </w:r>
    </w:p>
    <w:p w14:paraId="48C18D24" w14:textId="77777777" w:rsidR="00EC0D20" w:rsidRDefault="00EC0D20" w:rsidP="00EC0D20">
      <w:pPr>
        <w:pStyle w:val="Paragraphedeliste1"/>
        <w:widowControl w:val="0"/>
        <w:numPr>
          <w:ilvl w:val="0"/>
          <w:numId w:val="8"/>
        </w:numPr>
        <w:spacing w:after="240"/>
        <w:jc w:val="both"/>
      </w:pPr>
      <w:r>
        <w:rPr>
          <w:rFonts w:asciiTheme="minorHAnsi" w:hAnsiTheme="minorHAnsi"/>
          <w:sz w:val="24"/>
          <w:szCs w:val="24"/>
        </w:rPr>
        <w:t>Les volumes déclassés et leurs évolutions.</w:t>
      </w:r>
    </w:p>
    <w:p w14:paraId="76083A51" w14:textId="2E67EBB8" w:rsidR="00EC0D20" w:rsidRDefault="00EC0D20" w:rsidP="00EC0D20">
      <w:pPr>
        <w:pStyle w:val="Paragraphedeliste1"/>
        <w:widowControl w:val="0"/>
        <w:numPr>
          <w:ilvl w:val="0"/>
          <w:numId w:val="8"/>
        </w:numPr>
        <w:spacing w:after="240"/>
        <w:jc w:val="both"/>
        <w:rPr>
          <w:rFonts w:asciiTheme="minorHAnsi" w:hAnsiTheme="minorHAnsi"/>
          <w:sz w:val="24"/>
          <w:szCs w:val="24"/>
        </w:rPr>
      </w:pPr>
      <w:r>
        <w:rPr>
          <w:rFonts w:asciiTheme="minorHAnsi" w:hAnsiTheme="minorHAnsi"/>
          <w:sz w:val="24"/>
          <w:szCs w:val="24"/>
        </w:rPr>
        <w:t>Tout autre indicateur porté à sa connaissance et qui pourrait indiquer une perturbation du marché.</w:t>
      </w:r>
    </w:p>
    <w:p w14:paraId="753712C7" w14:textId="77777777" w:rsidR="00EC0D20" w:rsidRDefault="00EC0D20" w:rsidP="00EC0D20">
      <w:pPr>
        <w:pStyle w:val="Titre1"/>
        <w:numPr>
          <w:ilvl w:val="0"/>
          <w:numId w:val="5"/>
        </w:numPr>
        <w:jc w:val="both"/>
      </w:pPr>
      <w:bookmarkStart w:id="14" w:name="_Toc536180038"/>
      <w:r>
        <w:t>Règles de détermination de l’ouverture</w:t>
      </w:r>
      <w:bookmarkEnd w:id="14"/>
      <w:r>
        <w:t xml:space="preserve"> </w:t>
      </w:r>
    </w:p>
    <w:p w14:paraId="5CD85F7E" w14:textId="77777777" w:rsidR="00EC0D20" w:rsidRDefault="00EC0D20" w:rsidP="00EC0D20">
      <w:pPr>
        <w:jc w:val="both"/>
      </w:pPr>
    </w:p>
    <w:p w14:paraId="73D440B5" w14:textId="77777777" w:rsidR="00EC0D20" w:rsidRDefault="00EC0D20" w:rsidP="00EC0D20">
      <w:pPr>
        <w:jc w:val="both"/>
      </w:pPr>
      <w:r>
        <w:t>Pour maintenir et garantir une ouverture du marché, l’Abondance scinde sa politique d’ouverture en deux catégories : les nouveaux ateliers d'une part et les opérateurs déjà en place commercialement les plus dynamiques d'autre part.</w:t>
      </w:r>
    </w:p>
    <w:p w14:paraId="30C35B16" w14:textId="77777777" w:rsidR="00EC0D20" w:rsidRDefault="00EC0D20" w:rsidP="00EC0D20">
      <w:pPr>
        <w:jc w:val="both"/>
      </w:pPr>
    </w:p>
    <w:p w14:paraId="518A343B" w14:textId="77777777" w:rsidR="00EC0D20" w:rsidRDefault="00EC0D20" w:rsidP="00EC0D20">
      <w:pPr>
        <w:jc w:val="both"/>
      </w:pPr>
      <w:r>
        <w:t>Les demandes seront faites en cours de campagne auprès du SIFA qui analysera ces attributions au regard des règles de régulation de l'offre et définira l'ouverture correspondante pour chaque opérateur concerné.</w:t>
      </w:r>
    </w:p>
    <w:p w14:paraId="3E02A216" w14:textId="77777777" w:rsidR="00EC0D20" w:rsidRDefault="00EC0D20" w:rsidP="00EC0D20">
      <w:pPr>
        <w:pStyle w:val="Titre2"/>
        <w:numPr>
          <w:ilvl w:val="1"/>
          <w:numId w:val="5"/>
        </w:numPr>
      </w:pPr>
      <w:bookmarkStart w:id="15" w:name="_Toc536180039"/>
      <w:r>
        <w:t>Ouverture pour les nouveaux ateliers</w:t>
      </w:r>
      <w:bookmarkEnd w:id="15"/>
    </w:p>
    <w:p w14:paraId="0610F9FE" w14:textId="77777777" w:rsidR="00EC0D20" w:rsidRDefault="00EC0D20" w:rsidP="00EC0D20">
      <w:pPr>
        <w:jc w:val="both"/>
        <w:rPr>
          <w:b/>
        </w:rPr>
      </w:pPr>
    </w:p>
    <w:p w14:paraId="54532A23" w14:textId="77777777" w:rsidR="00EC0D20" w:rsidRDefault="00EC0D20" w:rsidP="00EC0D20">
      <w:pPr>
        <w:jc w:val="both"/>
      </w:pPr>
      <w:r>
        <w:t>Conformément à l’article 150 h) du règlement (UE) n° 1308/2013, les règles de régulation de l’AOP Abondance prévoient une ouverture pour permettre l’entrée de nouveaux opérateurs sur le marché.</w:t>
      </w:r>
    </w:p>
    <w:p w14:paraId="158468A5" w14:textId="77777777" w:rsidR="00EC0D20" w:rsidRDefault="00EC0D20" w:rsidP="00EC0D20">
      <w:pPr>
        <w:jc w:val="both"/>
      </w:pPr>
    </w:p>
    <w:p w14:paraId="13AF32F3" w14:textId="77777777" w:rsidR="00EC0D20" w:rsidRDefault="00EC0D20" w:rsidP="00EC0D20">
      <w:pPr>
        <w:spacing w:line="252" w:lineRule="auto"/>
        <w:jc w:val="both"/>
      </w:pPr>
      <w:r>
        <w:t>Le forfait annuel est établi comme suit pour les trois premières campagnes laitières suivant l'obtention de l'habilitation de l'atelier par l’organisme certificateur :</w:t>
      </w:r>
    </w:p>
    <w:p w14:paraId="43423FD0" w14:textId="77777777" w:rsidR="00EC0D20" w:rsidRDefault="00EC0D20" w:rsidP="00EC0D20">
      <w:pPr>
        <w:spacing w:line="252" w:lineRule="auto"/>
        <w:jc w:val="both"/>
      </w:pPr>
    </w:p>
    <w:p w14:paraId="5F96D67E" w14:textId="77777777" w:rsidR="00EC0D20" w:rsidRDefault="00EC0D20" w:rsidP="00EC0D20">
      <w:pPr>
        <w:jc w:val="both"/>
      </w:pPr>
    </w:p>
    <w:tbl>
      <w:tblPr>
        <w:tblW w:w="9474" w:type="dxa"/>
        <w:tblInd w:w="3" w:type="dxa"/>
        <w:tblBorders>
          <w:top w:val="single" w:sz="4" w:space="0" w:color="00000A"/>
          <w:left w:val="single" w:sz="4" w:space="0" w:color="00000A"/>
          <w:bottom w:val="single" w:sz="4" w:space="0" w:color="00000A"/>
          <w:insideH w:val="single" w:sz="4" w:space="0" w:color="00000A"/>
        </w:tblBorders>
        <w:tblCellMar>
          <w:left w:w="3" w:type="dxa"/>
        </w:tblCellMar>
        <w:tblLook w:val="0000" w:firstRow="0" w:lastRow="0" w:firstColumn="0" w:lastColumn="0" w:noHBand="0" w:noVBand="0"/>
      </w:tblPr>
      <w:tblGrid>
        <w:gridCol w:w="5349"/>
        <w:gridCol w:w="2053"/>
        <w:gridCol w:w="2072"/>
      </w:tblGrid>
      <w:tr w:rsidR="00EC0D20" w14:paraId="1A406A9A" w14:textId="77777777" w:rsidTr="00337C43">
        <w:tc>
          <w:tcPr>
            <w:tcW w:w="5349" w:type="dxa"/>
            <w:tcBorders>
              <w:top w:val="single" w:sz="4" w:space="0" w:color="00000A"/>
              <w:left w:val="single" w:sz="4" w:space="0" w:color="00000A"/>
              <w:bottom w:val="single" w:sz="4" w:space="0" w:color="00000A"/>
            </w:tcBorders>
            <w:shd w:val="clear" w:color="auto" w:fill="FFFFFF"/>
            <w:tcMar>
              <w:left w:w="3" w:type="dxa"/>
            </w:tcMar>
          </w:tcPr>
          <w:p w14:paraId="38AF8800" w14:textId="77777777" w:rsidR="00EC0D20" w:rsidRDefault="00EC0D20" w:rsidP="00337C43">
            <w:pPr>
              <w:snapToGrid w:val="0"/>
            </w:pPr>
          </w:p>
        </w:tc>
        <w:tc>
          <w:tcPr>
            <w:tcW w:w="2053" w:type="dxa"/>
            <w:tcBorders>
              <w:top w:val="single" w:sz="4" w:space="0" w:color="00000A"/>
              <w:left w:val="single" w:sz="4" w:space="0" w:color="00000A"/>
              <w:bottom w:val="single" w:sz="4" w:space="0" w:color="00000A"/>
            </w:tcBorders>
            <w:shd w:val="clear" w:color="auto" w:fill="FFFFFF"/>
            <w:tcMar>
              <w:left w:w="3" w:type="dxa"/>
            </w:tcMar>
          </w:tcPr>
          <w:p w14:paraId="410134E0" w14:textId="77777777" w:rsidR="00EC0D20" w:rsidRDefault="00EC0D20" w:rsidP="00337C43">
            <w:pPr>
              <w:jc w:val="center"/>
              <w:rPr>
                <w:b/>
              </w:rPr>
            </w:pPr>
            <w:r>
              <w:rPr>
                <w:b/>
              </w:rPr>
              <w:t>Fabrication laitière</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tcPr>
          <w:p w14:paraId="66565D26" w14:textId="77777777" w:rsidR="00EC0D20" w:rsidRDefault="00EC0D20" w:rsidP="00337C43">
            <w:pPr>
              <w:jc w:val="center"/>
            </w:pPr>
            <w:r>
              <w:rPr>
                <w:b/>
              </w:rPr>
              <w:t>Fabrication fermière</w:t>
            </w:r>
          </w:p>
        </w:tc>
      </w:tr>
      <w:tr w:rsidR="00EC0D20" w14:paraId="33441159" w14:textId="77777777" w:rsidTr="00337C43">
        <w:tc>
          <w:tcPr>
            <w:tcW w:w="5349" w:type="dxa"/>
            <w:tcBorders>
              <w:top w:val="single" w:sz="4" w:space="0" w:color="00000A"/>
              <w:left w:val="single" w:sz="4" w:space="0" w:color="00000A"/>
              <w:bottom w:val="single" w:sz="4" w:space="0" w:color="00000A"/>
            </w:tcBorders>
            <w:shd w:val="clear" w:color="auto" w:fill="FFFFFF"/>
            <w:tcMar>
              <w:left w:w="3" w:type="dxa"/>
            </w:tcMar>
          </w:tcPr>
          <w:p w14:paraId="344649B9" w14:textId="77777777" w:rsidR="00EC0D20" w:rsidRDefault="00EC0D20" w:rsidP="00337C43">
            <w:r>
              <w:rPr>
                <w:b/>
              </w:rPr>
              <w:t>Production principale</w:t>
            </w:r>
            <w:r>
              <w:t xml:space="preserve"> : </w:t>
            </w:r>
          </w:p>
          <w:p w14:paraId="07870565" w14:textId="77777777" w:rsidR="00EC0D20" w:rsidRDefault="00EC0D20" w:rsidP="00337C43">
            <w:r>
              <w:t>La fabrication d’Abondance est la principale production de l’atelier concerné par l’habilitation.</w:t>
            </w:r>
          </w:p>
        </w:tc>
        <w:tc>
          <w:tcPr>
            <w:tcW w:w="2053" w:type="dxa"/>
            <w:tcBorders>
              <w:top w:val="single" w:sz="4" w:space="0" w:color="00000A"/>
              <w:left w:val="single" w:sz="4" w:space="0" w:color="00000A"/>
              <w:bottom w:val="single" w:sz="4" w:space="0" w:color="00000A"/>
            </w:tcBorders>
            <w:shd w:val="clear" w:color="auto" w:fill="FFFFFF"/>
            <w:tcMar>
              <w:left w:w="3" w:type="dxa"/>
            </w:tcMar>
            <w:vAlign w:val="center"/>
          </w:tcPr>
          <w:p w14:paraId="61E6963B" w14:textId="77777777" w:rsidR="00EC0D20" w:rsidRDefault="00EC0D20" w:rsidP="00337C43">
            <w:pPr>
              <w:jc w:val="center"/>
            </w:pPr>
            <w:r>
              <w:t>40 T</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661E4B85" w14:textId="77777777" w:rsidR="00EC0D20" w:rsidRDefault="00EC0D20" w:rsidP="00337C43">
            <w:pPr>
              <w:jc w:val="center"/>
            </w:pPr>
            <w:r>
              <w:t>6 T</w:t>
            </w:r>
          </w:p>
        </w:tc>
      </w:tr>
      <w:tr w:rsidR="00EC0D20" w14:paraId="441B8050" w14:textId="77777777" w:rsidTr="00337C43">
        <w:tc>
          <w:tcPr>
            <w:tcW w:w="5349" w:type="dxa"/>
            <w:tcBorders>
              <w:top w:val="single" w:sz="4" w:space="0" w:color="00000A"/>
              <w:left w:val="single" w:sz="4" w:space="0" w:color="00000A"/>
              <w:bottom w:val="single" w:sz="4" w:space="0" w:color="00000A"/>
            </w:tcBorders>
            <w:shd w:val="clear" w:color="auto" w:fill="FFFFFF"/>
            <w:tcMar>
              <w:left w:w="3" w:type="dxa"/>
            </w:tcMar>
          </w:tcPr>
          <w:p w14:paraId="555A499D" w14:textId="77777777" w:rsidR="00EC0D20" w:rsidRDefault="00EC0D20" w:rsidP="00337C43">
            <w:r>
              <w:rPr>
                <w:b/>
              </w:rPr>
              <w:t>Production secondaire</w:t>
            </w:r>
            <w:r>
              <w:t xml:space="preserve"> : </w:t>
            </w:r>
          </w:p>
          <w:p w14:paraId="03C6F46A" w14:textId="77777777" w:rsidR="00EC0D20" w:rsidRDefault="00EC0D20" w:rsidP="00337C43">
            <w:r>
              <w:lastRenderedPageBreak/>
              <w:t>La fabrication d’Abondance est une production annexe de l’atelier concerné par l’habilitation.</w:t>
            </w:r>
          </w:p>
        </w:tc>
        <w:tc>
          <w:tcPr>
            <w:tcW w:w="2053" w:type="dxa"/>
            <w:tcBorders>
              <w:top w:val="single" w:sz="4" w:space="0" w:color="00000A"/>
              <w:left w:val="single" w:sz="4" w:space="0" w:color="00000A"/>
              <w:bottom w:val="single" w:sz="4" w:space="0" w:color="00000A"/>
            </w:tcBorders>
            <w:shd w:val="clear" w:color="auto" w:fill="FFFFFF"/>
            <w:tcMar>
              <w:left w:w="3" w:type="dxa"/>
            </w:tcMar>
            <w:vAlign w:val="center"/>
          </w:tcPr>
          <w:p w14:paraId="029B3AF6" w14:textId="77777777" w:rsidR="00EC0D20" w:rsidRDefault="00EC0D20" w:rsidP="00337C43">
            <w:pPr>
              <w:jc w:val="center"/>
            </w:pPr>
            <w:r>
              <w:lastRenderedPageBreak/>
              <w:t>20 T</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1831A88A" w14:textId="77777777" w:rsidR="00EC0D20" w:rsidRDefault="00EC0D20" w:rsidP="00337C43">
            <w:pPr>
              <w:jc w:val="center"/>
            </w:pPr>
            <w:r>
              <w:t>2 T</w:t>
            </w:r>
          </w:p>
        </w:tc>
      </w:tr>
    </w:tbl>
    <w:p w14:paraId="6E166729" w14:textId="77777777" w:rsidR="00EC0D20" w:rsidRDefault="00EC0D20" w:rsidP="00EC0D20">
      <w:pPr>
        <w:jc w:val="both"/>
      </w:pPr>
    </w:p>
    <w:p w14:paraId="6C807186" w14:textId="77777777" w:rsidR="00EC0D20" w:rsidRDefault="00EC0D20" w:rsidP="00EC0D20">
      <w:pPr>
        <w:spacing w:line="252" w:lineRule="auto"/>
        <w:jc w:val="both"/>
      </w:pPr>
      <w:r>
        <w:t>Pour les trois campagnes laitières consécutives à leur habilitation, les nouveaux ateliers pourront produire au-delà de leur référence forfaitaire et des volumes éventuels qui leur seront attribués via les mécanismes d’ouverture et de croissance. La sur-cotisation ne s’appliquera qu'aux volumes produits en plus des volumes de référence, d'ouverture et de croissance.</w:t>
      </w:r>
    </w:p>
    <w:p w14:paraId="16901599" w14:textId="77777777" w:rsidR="00EC0D20" w:rsidRDefault="00EC0D20" w:rsidP="00EC0D20">
      <w:pPr>
        <w:spacing w:line="252" w:lineRule="auto"/>
        <w:jc w:val="both"/>
      </w:pPr>
    </w:p>
    <w:p w14:paraId="3099420F" w14:textId="77777777" w:rsidR="00EC0D20" w:rsidRDefault="00EC0D20" w:rsidP="00EC0D20">
      <w:pPr>
        <w:spacing w:line="252" w:lineRule="auto"/>
        <w:jc w:val="both"/>
      </w:pPr>
      <w:r>
        <w:t>Au-delà de ces trois années, une nouvelle référence sera établie sur la base de la meilleure production des trois années civiles.</w:t>
      </w:r>
    </w:p>
    <w:p w14:paraId="02880B20" w14:textId="77777777" w:rsidR="00EC0D20" w:rsidRDefault="00EC0D20" w:rsidP="00EC0D20">
      <w:pPr>
        <w:jc w:val="both"/>
      </w:pPr>
    </w:p>
    <w:p w14:paraId="381F7DA7" w14:textId="77777777" w:rsidR="00EC0D20" w:rsidRDefault="00EC0D20" w:rsidP="00EC0D20">
      <w:pPr>
        <w:widowControl w:val="0"/>
        <w:spacing w:after="240"/>
        <w:jc w:val="both"/>
      </w:pPr>
      <w:r>
        <w:t>Le nombre d’ateliers de transformation pouvant entrer dans la filière à chaque campagne n’est pas plafonné.</w:t>
      </w:r>
    </w:p>
    <w:p w14:paraId="2B243DE6" w14:textId="77777777" w:rsidR="00EC0D20" w:rsidRDefault="00EC0D20" w:rsidP="00EC0D20">
      <w:pPr>
        <w:pStyle w:val="Titre2"/>
        <w:numPr>
          <w:ilvl w:val="1"/>
          <w:numId w:val="5"/>
        </w:numPr>
      </w:pPr>
      <w:bookmarkStart w:id="16" w:name="_Toc536180040"/>
      <w:r>
        <w:t>Ouverture pour les opérateurs en place sur la campagne N-1</w:t>
      </w:r>
      <w:bookmarkEnd w:id="16"/>
    </w:p>
    <w:p w14:paraId="28675CF3" w14:textId="77777777" w:rsidR="00EC0D20" w:rsidRDefault="00EC0D20" w:rsidP="00EC0D20"/>
    <w:p w14:paraId="20659931" w14:textId="77777777" w:rsidR="00EC0D20" w:rsidRDefault="00EC0D20" w:rsidP="00EC0D20">
      <w:pPr>
        <w:jc w:val="both"/>
      </w:pPr>
      <w:r>
        <w:t xml:space="preserve">Pour garantir une attribution et une évolution de références supplémentaires aux opérateurs bénéficiant d’une situation dynamique, les règles de régulation prévoient une </w:t>
      </w:r>
      <w:r>
        <w:rPr>
          <w:b/>
          <w:bCs/>
        </w:rPr>
        <w:t>ouverture de 70,5 tonnes</w:t>
      </w:r>
      <w:r>
        <w:t xml:space="preserve"> (50 tonnes pour les ateliers laitiers, soit 5 000 meules</w:t>
      </w:r>
      <w:r>
        <w:rPr>
          <w:rStyle w:val="Ancredenotedebasdepage"/>
        </w:rPr>
        <w:footnoteReference w:id="1"/>
      </w:r>
      <w:r>
        <w:t>) et 20,5 tonnes, soit 2 278 meules</w:t>
      </w:r>
      <w:r>
        <w:rPr>
          <w:rStyle w:val="Ancredenotedebasdepage"/>
        </w:rPr>
        <w:footnoteReference w:id="2"/>
      </w:r>
      <w:r>
        <w:t xml:space="preserve"> pour les ateliers fermiers), ce qui correspond à la moyenne des attributions qui ont été observées sur les trois dernières campagnes laitières.</w:t>
      </w:r>
    </w:p>
    <w:p w14:paraId="74B2A824" w14:textId="77777777" w:rsidR="00EC0D20" w:rsidRDefault="00EC0D20" w:rsidP="00EC0D20">
      <w:pPr>
        <w:jc w:val="both"/>
        <w:rPr>
          <w:shd w:val="clear" w:color="auto" w:fill="FFFF00"/>
        </w:rPr>
      </w:pPr>
    </w:p>
    <w:p w14:paraId="04E967E4" w14:textId="77777777" w:rsidR="00EC0D20" w:rsidRDefault="00EC0D20" w:rsidP="00EC0D20">
      <w:pPr>
        <w:jc w:val="both"/>
      </w:pPr>
      <w:r>
        <w:t>Cette ouverture s’ajoute à la référence de base avant que ne s’applique à elle le taux additionnel de croissance.</w:t>
      </w:r>
    </w:p>
    <w:p w14:paraId="09433E38" w14:textId="77777777" w:rsidR="00EC0D20" w:rsidRDefault="00EC0D20" w:rsidP="00EC0D20">
      <w:pPr>
        <w:jc w:val="both"/>
      </w:pPr>
    </w:p>
    <w:p w14:paraId="73B69A25" w14:textId="77777777" w:rsidR="00EC0D20" w:rsidRDefault="00EC0D20" w:rsidP="00EC0D20">
      <w:pPr>
        <w:jc w:val="both"/>
      </w:pPr>
      <w:r>
        <w:t>Chaque opérateur (fermier comme laitier) peut demander au SIFA l’augmentation de sa référence de base en fonction des critères ci-dessous :</w:t>
      </w:r>
    </w:p>
    <w:p w14:paraId="3F44794C" w14:textId="77777777" w:rsidR="00EC0D20" w:rsidRDefault="00EC0D20" w:rsidP="00EC0D20">
      <w:pPr>
        <w:numPr>
          <w:ilvl w:val="0"/>
          <w:numId w:val="3"/>
        </w:numPr>
        <w:spacing w:line="276" w:lineRule="auto"/>
        <w:jc w:val="both"/>
      </w:pPr>
      <w:r>
        <w:t>L’habilitation de nouveaux producteurs de lait.</w:t>
      </w:r>
    </w:p>
    <w:p w14:paraId="40EE3C30" w14:textId="77777777" w:rsidR="00EC0D20" w:rsidRDefault="00EC0D20" w:rsidP="00EC0D20">
      <w:pPr>
        <w:numPr>
          <w:ilvl w:val="0"/>
          <w:numId w:val="3"/>
        </w:numPr>
        <w:spacing w:line="276" w:lineRule="auto"/>
        <w:jc w:val="both"/>
      </w:pPr>
      <w:r>
        <w:t>L’installation de jeunes agriculteurs dans des exploitations déjà habilitées.</w:t>
      </w:r>
    </w:p>
    <w:p w14:paraId="0E87E6A4" w14:textId="77777777" w:rsidR="00EC0D20" w:rsidRDefault="00EC0D20" w:rsidP="00EC0D20">
      <w:pPr>
        <w:numPr>
          <w:ilvl w:val="0"/>
          <w:numId w:val="3"/>
        </w:numPr>
        <w:spacing w:line="276" w:lineRule="auto"/>
        <w:jc w:val="both"/>
      </w:pPr>
      <w:r>
        <w:t>La modernisation de l’exploitation agricole destinée à l’amélioration du potentiel de production de l’Abondance.</w:t>
      </w:r>
    </w:p>
    <w:p w14:paraId="0EA7D5F5" w14:textId="77777777" w:rsidR="00EC0D20" w:rsidRDefault="00EC0D20" w:rsidP="00EC0D20">
      <w:pPr>
        <w:numPr>
          <w:ilvl w:val="0"/>
          <w:numId w:val="3"/>
        </w:numPr>
        <w:spacing w:line="276" w:lineRule="auto"/>
        <w:jc w:val="both"/>
      </w:pPr>
      <w:r>
        <w:t>L’amélioration du potentiel de production de l’Abondance des producteurs actuels liée à une croissance interne de l’exploitation agricole.</w:t>
      </w:r>
    </w:p>
    <w:p w14:paraId="57C7CA34" w14:textId="77777777" w:rsidR="00EC0D20" w:rsidRDefault="00EC0D20" w:rsidP="00EC0D20">
      <w:pPr>
        <w:jc w:val="both"/>
      </w:pPr>
    </w:p>
    <w:p w14:paraId="26A5218E" w14:textId="77777777" w:rsidR="00EC0D20" w:rsidRDefault="00EC0D20" w:rsidP="00EC0D20">
      <w:pPr>
        <w:jc w:val="both"/>
      </w:pPr>
      <w:r>
        <w:t>Quand la somme des demandes d’accès excède le volume d'ouverture globalement disponible pour toute la filière, le poids de référence supplémentaire accordé à chaque entreprise fromagère est calculé au prorata de sa demande pour les catégories 1, 2 et 3.</w:t>
      </w:r>
    </w:p>
    <w:p w14:paraId="2805174F" w14:textId="77777777" w:rsidR="00EC0D20" w:rsidRDefault="00EC0D20" w:rsidP="00EC0D20">
      <w:pPr>
        <w:jc w:val="both"/>
      </w:pPr>
    </w:p>
    <w:p w14:paraId="665BF98E" w14:textId="77777777" w:rsidR="00EC0D20" w:rsidRDefault="00EC0D20" w:rsidP="00EC0D20">
      <w:pPr>
        <w:jc w:val="both"/>
      </w:pPr>
      <w:r>
        <w:t>Quand les demandes d’ouverture des catégories 1, 2, et 3 sont inférieures au volume d'ouverture, le poids de référence restant est accordé à la catégorie 4.</w:t>
      </w:r>
    </w:p>
    <w:p w14:paraId="71819DD7" w14:textId="77777777" w:rsidR="00EC0D20" w:rsidRDefault="00EC0D20" w:rsidP="00EC0D20">
      <w:pPr>
        <w:jc w:val="both"/>
      </w:pPr>
    </w:p>
    <w:p w14:paraId="14913878" w14:textId="77777777" w:rsidR="00EC0D20" w:rsidRDefault="00EC0D20" w:rsidP="00EC0D20">
      <w:pPr>
        <w:jc w:val="both"/>
      </w:pPr>
      <w:r>
        <w:t>Le volume d’ouverture attribué à chaque fromagerie intégrera le taux de spécialisation Abondance en vigueur.</w:t>
      </w:r>
    </w:p>
    <w:p w14:paraId="63CAC6BC" w14:textId="44337379" w:rsidR="00EC0D20" w:rsidRPr="00337C43" w:rsidRDefault="00EC0D20" w:rsidP="00337C43">
      <w:pPr>
        <w:jc w:val="both"/>
      </w:pPr>
      <w:r>
        <w:lastRenderedPageBreak/>
        <w:t>L’ouverture ainsi définie pendant la campagne N/N+1 s’ajoute à la référence annuelle de l’opérateur pour la campagne N+1/N+2.</w:t>
      </w:r>
    </w:p>
    <w:p w14:paraId="68619B9B" w14:textId="0420D349" w:rsidR="00685E04" w:rsidRDefault="00963ECD">
      <w:pPr>
        <w:pStyle w:val="Titre1"/>
        <w:numPr>
          <w:ilvl w:val="0"/>
          <w:numId w:val="5"/>
        </w:numPr>
        <w:rPr>
          <w:shd w:val="clear" w:color="auto" w:fill="FFFFFF"/>
        </w:rPr>
      </w:pPr>
      <w:bookmarkStart w:id="17" w:name="_Toc536180041"/>
      <w:r>
        <w:rPr>
          <w:shd w:val="clear" w:color="auto" w:fill="FFFFFF"/>
        </w:rPr>
        <w:t>Transferts de référence</w:t>
      </w:r>
      <w:bookmarkEnd w:id="17"/>
    </w:p>
    <w:p w14:paraId="039B8A30" w14:textId="77777777" w:rsidR="00685E04" w:rsidRDefault="00685E04">
      <w:pPr>
        <w:jc w:val="both"/>
        <w:rPr>
          <w:shd w:val="clear" w:color="auto" w:fill="FFFFFF"/>
        </w:rPr>
      </w:pPr>
    </w:p>
    <w:p w14:paraId="0111171A" w14:textId="77777777" w:rsidR="00685E04" w:rsidRDefault="00963ECD">
      <w:pPr>
        <w:jc w:val="both"/>
        <w:rPr>
          <w:shd w:val="clear" w:color="auto" w:fill="FFFFFF"/>
        </w:rPr>
      </w:pPr>
      <w:r>
        <w:rPr>
          <w:shd w:val="clear" w:color="auto" w:fill="FFFFFF"/>
        </w:rPr>
        <w:t>Plusieurs cas de transfert de référence peuvent être envisagés :</w:t>
      </w:r>
    </w:p>
    <w:p w14:paraId="07AFF4C0" w14:textId="77777777" w:rsidR="00685E04" w:rsidRDefault="00685E04">
      <w:pPr>
        <w:jc w:val="both"/>
        <w:rPr>
          <w:shd w:val="clear" w:color="auto" w:fill="FFFFFF"/>
        </w:rPr>
      </w:pPr>
    </w:p>
    <w:p w14:paraId="044D14FD" w14:textId="5CE0B516" w:rsidR="00685E04" w:rsidRDefault="00963ECD">
      <w:pPr>
        <w:pStyle w:val="Paragraphedeliste1"/>
        <w:widowControl w:val="0"/>
        <w:numPr>
          <w:ilvl w:val="0"/>
          <w:numId w:val="10"/>
        </w:numPr>
        <w:suppressAutoHyphens w:val="0"/>
        <w:spacing w:after="240"/>
        <w:jc w:val="both"/>
      </w:pPr>
      <w:r>
        <w:rPr>
          <w:rFonts w:asciiTheme="minorHAnsi" w:hAnsiTheme="minorHAnsi"/>
          <w:sz w:val="24"/>
          <w:szCs w:val="24"/>
          <w:shd w:val="clear" w:color="auto" w:fill="FFFFFF"/>
        </w:rPr>
        <w:t>En cas de reprise d’un atelier de fabrication par un autre opérateur incluant sa collecte de lait, la référence de l’atelier est transférée intégralement à l’opérateur repreneur.</w:t>
      </w:r>
    </w:p>
    <w:p w14:paraId="1C2AE579" w14:textId="338FE88E" w:rsidR="00685E04" w:rsidRDefault="00963ECD">
      <w:pPr>
        <w:pStyle w:val="Paragraphedeliste1"/>
        <w:widowControl w:val="0"/>
        <w:numPr>
          <w:ilvl w:val="0"/>
          <w:numId w:val="10"/>
        </w:numPr>
        <w:suppressAutoHyphens w:val="0"/>
        <w:spacing w:after="240"/>
        <w:jc w:val="both"/>
      </w:pPr>
      <w:r>
        <w:rPr>
          <w:rFonts w:asciiTheme="minorHAnsi" w:hAnsiTheme="minorHAnsi"/>
          <w:sz w:val="24"/>
          <w:szCs w:val="24"/>
          <w:shd w:val="clear" w:color="auto" w:fill="FFFFFF"/>
        </w:rPr>
        <w:t>En cas de changement de l’entreprise fromagère gérant un atelier de fabrication : pour un atelier de fabrication qui conserve sa collecte de lait et continue la production d’Abondance, alors sa référence est transférée intégralement à l’entreprise fromagère qui reprend la gestion de l’atelier de fabrication.</w:t>
      </w:r>
    </w:p>
    <w:p w14:paraId="34B20D97" w14:textId="32D96814" w:rsidR="00685E04" w:rsidRDefault="00963ECD">
      <w:pPr>
        <w:pStyle w:val="Paragraphedeliste1"/>
        <w:widowControl w:val="0"/>
        <w:numPr>
          <w:ilvl w:val="0"/>
          <w:numId w:val="10"/>
        </w:numPr>
        <w:suppressAutoHyphens w:val="0"/>
        <w:spacing w:after="240"/>
        <w:jc w:val="both"/>
      </w:pPr>
      <w:r>
        <w:rPr>
          <w:rFonts w:asciiTheme="minorHAnsi" w:hAnsiTheme="minorHAnsi"/>
          <w:sz w:val="24"/>
          <w:szCs w:val="24"/>
          <w:shd w:val="clear" w:color="auto" w:fill="FFFFFF"/>
        </w:rPr>
        <w:t>En cas de fermeture temporaire de l’atelier unique d’un opérateur laitier pour raison de travaux ou encore sanitaires, la référence pourra être temporairement attribuée à un deuxième opérateur laitier si celui-ci fabrique à façon de l’Abondance pour le premier.</w:t>
      </w:r>
    </w:p>
    <w:p w14:paraId="2DC025A6" w14:textId="77777777" w:rsidR="00685E04" w:rsidRDefault="00963ECD">
      <w:pPr>
        <w:numPr>
          <w:ilvl w:val="0"/>
          <w:numId w:val="9"/>
        </w:numPr>
        <w:suppressAutoHyphens w:val="0"/>
        <w:spacing w:after="200" w:line="252" w:lineRule="auto"/>
        <w:jc w:val="both"/>
      </w:pPr>
      <w:r>
        <w:rPr>
          <w:shd w:val="clear" w:color="auto" w:fill="FFFFFF"/>
        </w:rPr>
        <w:t>En cas de cessation complète</w:t>
      </w:r>
      <w:r>
        <w:t xml:space="preserve"> d’activité d’une entreprise fromagère couplée à un retrait d’habilitation des producteurs de lait engagés auprès de cette entreprise : la référence de l’entreprise fromagère est intégralement reprise et viendra s'ajouter au volume total d’ouverture pour la campagne n+1. Elle sera ainsi répartie auprès des entreprises déjà en place dans la filière.</w:t>
      </w:r>
    </w:p>
    <w:p w14:paraId="3F710D96" w14:textId="77777777" w:rsidR="00685E04" w:rsidRDefault="00963ECD">
      <w:pPr>
        <w:suppressAutoHyphens w:val="0"/>
        <w:spacing w:after="200" w:line="252" w:lineRule="auto"/>
        <w:jc w:val="both"/>
      </w:pPr>
      <w:r>
        <w:t>La Commission de conciliation et de gestion est chargée de statuer sur ces règles de transfert ainsi que sur tout autre cas non précisé ci-dessus.</w:t>
      </w:r>
    </w:p>
    <w:p w14:paraId="63C16CD5" w14:textId="77777777" w:rsidR="00685E04" w:rsidRDefault="00963ECD">
      <w:pPr>
        <w:pStyle w:val="Titre1"/>
        <w:numPr>
          <w:ilvl w:val="0"/>
          <w:numId w:val="5"/>
        </w:numPr>
      </w:pPr>
      <w:bookmarkStart w:id="18" w:name="_Toc535846938"/>
      <w:bookmarkStart w:id="19" w:name="_Toc535846939"/>
      <w:bookmarkStart w:id="20" w:name="_Toc535846940"/>
      <w:bookmarkStart w:id="21" w:name="_Toc535846941"/>
      <w:bookmarkStart w:id="22" w:name="_Toc383267578"/>
      <w:bookmarkStart w:id="23" w:name="_Toc351042976"/>
      <w:bookmarkStart w:id="24" w:name="_Toc348965869"/>
      <w:bookmarkStart w:id="25" w:name="_Toc535846942"/>
      <w:bookmarkStart w:id="26" w:name="_Toc535846943"/>
      <w:bookmarkStart w:id="27" w:name="_Toc535846944"/>
      <w:bookmarkStart w:id="28" w:name="_Toc535846945"/>
      <w:bookmarkStart w:id="29" w:name="_Toc535846946"/>
      <w:bookmarkStart w:id="30" w:name="_Toc535846947"/>
      <w:bookmarkStart w:id="31" w:name="_Toc535846948"/>
      <w:bookmarkStart w:id="32" w:name="_Toc535846949"/>
      <w:bookmarkStart w:id="33" w:name="_Toc535846950"/>
      <w:bookmarkStart w:id="34" w:name="_Toc535846951"/>
      <w:bookmarkStart w:id="35" w:name="_Toc535846952"/>
      <w:bookmarkStart w:id="36" w:name="_Toc383267579"/>
      <w:bookmarkStart w:id="37" w:name="_Toc351042977"/>
      <w:bookmarkStart w:id="38" w:name="_Toc348965870"/>
      <w:bookmarkStart w:id="39" w:name="_Toc535846953"/>
      <w:bookmarkStart w:id="40" w:name="_Toc535846954"/>
      <w:bookmarkStart w:id="41" w:name="_Toc535846955"/>
      <w:bookmarkStart w:id="42" w:name="_Toc535846956"/>
      <w:bookmarkStart w:id="43" w:name="_Toc535846957"/>
      <w:bookmarkStart w:id="44" w:name="_Toc535846958"/>
      <w:bookmarkStart w:id="45" w:name="_Toc535846959"/>
      <w:bookmarkStart w:id="46" w:name="_Toc535846960"/>
      <w:bookmarkStart w:id="47" w:name="_Toc535846961"/>
      <w:bookmarkStart w:id="48" w:name="_Toc535846962"/>
      <w:bookmarkStart w:id="49" w:name="_Toc535846963"/>
      <w:bookmarkStart w:id="50" w:name="_Toc535846964"/>
      <w:bookmarkStart w:id="51" w:name="_Toc535846965"/>
      <w:bookmarkStart w:id="52" w:name="_Toc383267580"/>
      <w:bookmarkStart w:id="53" w:name="_Toc351042978"/>
      <w:bookmarkStart w:id="54" w:name="_Toc348965871"/>
      <w:bookmarkStart w:id="55" w:name="_Toc53618004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Montant des sur-cotisations</w:t>
      </w:r>
      <w:bookmarkEnd w:id="55"/>
    </w:p>
    <w:p w14:paraId="0E79244A" w14:textId="77777777" w:rsidR="00685E04" w:rsidRDefault="00685E04"/>
    <w:p w14:paraId="5871D67D" w14:textId="77777777" w:rsidR="00685E04" w:rsidRDefault="00963ECD">
      <w:pPr>
        <w:widowControl w:val="0"/>
        <w:spacing w:after="240"/>
        <w:jc w:val="both"/>
      </w:pPr>
      <w:r>
        <w:t>Les opérateurs pourront produire de l’Abondance au-delà de leur référence annuelle en réglant la sur-cotisation pour le nombre de meules d’Abondance excédentaires.</w:t>
      </w:r>
    </w:p>
    <w:p w14:paraId="223E6EAD" w14:textId="77777777" w:rsidR="00685E04" w:rsidRDefault="00963ECD">
      <w:pPr>
        <w:widowControl w:val="0"/>
        <w:spacing w:after="240"/>
        <w:jc w:val="both"/>
        <w:rPr>
          <w:rFonts w:asciiTheme="minorHAnsi" w:hAnsiTheme="minorHAnsi"/>
        </w:rPr>
      </w:pPr>
      <w:r>
        <w:t xml:space="preserve">L’intégralité de la sur-cotisation est versée par l’opérateur au SIFA. Elle servira à financer des </w:t>
      </w:r>
      <w:r>
        <w:rPr>
          <w:rFonts w:asciiTheme="minorHAnsi" w:hAnsiTheme="minorHAnsi"/>
        </w:rPr>
        <w:t xml:space="preserve">actions collectives en faveur : </w:t>
      </w:r>
    </w:p>
    <w:p w14:paraId="5028A097" w14:textId="77777777" w:rsidR="00685E04" w:rsidRDefault="00963ECD">
      <w:pPr>
        <w:pStyle w:val="Paragraphedeliste1"/>
        <w:widowControl w:val="0"/>
        <w:numPr>
          <w:ilvl w:val="0"/>
          <w:numId w:val="7"/>
        </w:numPr>
        <w:spacing w:after="240"/>
        <w:jc w:val="both"/>
        <w:rPr>
          <w:rFonts w:asciiTheme="minorHAnsi" w:hAnsiTheme="minorHAnsi"/>
          <w:sz w:val="24"/>
          <w:szCs w:val="24"/>
        </w:rPr>
      </w:pPr>
      <w:r>
        <w:rPr>
          <w:rFonts w:asciiTheme="minorHAnsi" w:hAnsiTheme="minorHAnsi"/>
          <w:sz w:val="24"/>
          <w:szCs w:val="24"/>
        </w:rPr>
        <w:t>de l’amélioration de la qualité ;</w:t>
      </w:r>
    </w:p>
    <w:p w14:paraId="41A58E1B" w14:textId="77777777" w:rsidR="00685E04" w:rsidRDefault="00963ECD">
      <w:pPr>
        <w:pStyle w:val="Paragraphedeliste1"/>
        <w:widowControl w:val="0"/>
        <w:numPr>
          <w:ilvl w:val="0"/>
          <w:numId w:val="7"/>
        </w:numPr>
        <w:spacing w:after="240"/>
        <w:jc w:val="both"/>
        <w:rPr>
          <w:rFonts w:asciiTheme="minorHAnsi" w:hAnsiTheme="minorHAnsi"/>
          <w:sz w:val="24"/>
          <w:szCs w:val="24"/>
        </w:rPr>
      </w:pPr>
      <w:r>
        <w:rPr>
          <w:rFonts w:asciiTheme="minorHAnsi" w:hAnsiTheme="minorHAnsi"/>
          <w:sz w:val="24"/>
          <w:szCs w:val="24"/>
        </w:rPr>
        <w:t>de la communication afin de poursuivre le développement du marché.</w:t>
      </w:r>
    </w:p>
    <w:p w14:paraId="07498611" w14:textId="77777777" w:rsidR="00685E04" w:rsidRDefault="00963ECD">
      <w:pPr>
        <w:jc w:val="both"/>
      </w:pPr>
      <w:r>
        <w:t>Le montant des sur-cotisations correspond au montant du prix de la plaque de caséine multiplié par un coefficient défini.</w:t>
      </w:r>
    </w:p>
    <w:p w14:paraId="2AA8EF00" w14:textId="77777777" w:rsidR="00685E04" w:rsidRDefault="00685E04">
      <w:pPr>
        <w:jc w:val="both"/>
      </w:pPr>
    </w:p>
    <w:p w14:paraId="2DE5AF03" w14:textId="77777777" w:rsidR="00685E04" w:rsidRDefault="00963ECD">
      <w:pPr>
        <w:jc w:val="both"/>
      </w:pPr>
      <w:r>
        <w:t xml:space="preserve">Le prix des plaques est fixé chaque année en Assemblée générale du SIFA. Il est, à titre indicatif en 2017, de 1,101 € par plaque laitière </w:t>
      </w:r>
      <w:bookmarkStart w:id="56" w:name="__DdeLink__5952_1810042113"/>
      <w:r>
        <w:t>(soit 110,1 €/t)</w:t>
      </w:r>
      <w:bookmarkEnd w:id="56"/>
      <w:r>
        <w:t xml:space="preserve"> et de 1,021 € par plaque fermière (soit 113,4 €/t).</w:t>
      </w:r>
    </w:p>
    <w:p w14:paraId="5F77E206" w14:textId="77777777" w:rsidR="00685E04" w:rsidRDefault="00685E04">
      <w:pPr>
        <w:jc w:val="both"/>
      </w:pPr>
    </w:p>
    <w:p w14:paraId="1526FB84" w14:textId="77777777" w:rsidR="00685E04" w:rsidRDefault="00963ECD">
      <w:pPr>
        <w:jc w:val="both"/>
      </w:pPr>
      <w:r>
        <w:rPr>
          <w:color w:val="000000"/>
        </w:rPr>
        <w:lastRenderedPageBreak/>
        <w:t>En cas d’évolution favorable du marché, la sur-cotisation pourra être diminuée. Cette décision pourra être prise par le Conseil d’administration, sur délégation décidée par l’assemblée générale.</w:t>
      </w:r>
    </w:p>
    <w:p w14:paraId="138BA9AF" w14:textId="77777777" w:rsidR="00685E04" w:rsidRDefault="00963ECD">
      <w:pPr>
        <w:pStyle w:val="Titre2"/>
        <w:numPr>
          <w:ilvl w:val="1"/>
          <w:numId w:val="5"/>
        </w:numPr>
        <w:rPr>
          <w:shd w:val="clear" w:color="auto" w:fill="FFFF00"/>
        </w:rPr>
      </w:pPr>
      <w:bookmarkStart w:id="57" w:name="_Toc383267581"/>
      <w:bookmarkStart w:id="58" w:name="_Toc351042979"/>
      <w:bookmarkStart w:id="59" w:name="_Toc348965872"/>
      <w:bookmarkStart w:id="60" w:name="_Toc536180043"/>
      <w:bookmarkEnd w:id="57"/>
      <w:bookmarkEnd w:id="58"/>
      <w:bookmarkEnd w:id="59"/>
      <w:r>
        <w:t>Sur-cotisations pour les ateliers existants</w:t>
      </w:r>
      <w:bookmarkEnd w:id="60"/>
    </w:p>
    <w:p w14:paraId="6FF950EC" w14:textId="77777777" w:rsidR="00685E04" w:rsidRDefault="00685E04">
      <w:pPr>
        <w:jc w:val="both"/>
        <w:rPr>
          <w:shd w:val="clear" w:color="auto" w:fill="FFFF00"/>
        </w:rPr>
      </w:pPr>
    </w:p>
    <w:p w14:paraId="4AA27056" w14:textId="77777777" w:rsidR="00685E04" w:rsidRDefault="00963ECD">
      <w:pPr>
        <w:jc w:val="both"/>
      </w:pPr>
      <w:r>
        <w:t>La sur-cotisation s'élève à 20 fois le prix de la plaque de caséine laitière pour les meules d’Abondance laitier fabriquées au-delà de la référence et à 20 fois le prix de la plaque de caséine fermière pour les meules d’Abondance fermier fabriquées au-delà de la référence.</w:t>
      </w:r>
    </w:p>
    <w:p w14:paraId="54BC5DCB" w14:textId="77777777" w:rsidR="00685E04" w:rsidRDefault="00963ECD">
      <w:pPr>
        <w:pStyle w:val="Titre2"/>
        <w:numPr>
          <w:ilvl w:val="1"/>
          <w:numId w:val="5"/>
        </w:numPr>
      </w:pPr>
      <w:bookmarkStart w:id="61" w:name="_Toc383267582"/>
      <w:bookmarkStart w:id="62" w:name="_Toc351042980"/>
      <w:bookmarkStart w:id="63" w:name="_Toc348965873"/>
      <w:bookmarkStart w:id="64" w:name="_Toc536180044"/>
      <w:bookmarkEnd w:id="61"/>
      <w:bookmarkEnd w:id="62"/>
      <w:bookmarkEnd w:id="63"/>
      <w:r>
        <w:t>Sur-cotisations pour les nouveaux ateliers</w:t>
      </w:r>
      <w:bookmarkEnd w:id="64"/>
    </w:p>
    <w:p w14:paraId="59672AAF" w14:textId="77777777" w:rsidR="00685E04" w:rsidRDefault="00685E04"/>
    <w:p w14:paraId="65DD51AA" w14:textId="77777777" w:rsidR="00685E04" w:rsidRDefault="00963ECD">
      <w:pPr>
        <w:widowControl w:val="0"/>
        <w:spacing w:after="240"/>
        <w:jc w:val="both"/>
      </w:pPr>
      <w:r>
        <w:t>Les nouveaux ateliers pourront produire dès la première année au-delà de leur référence forfaitaire et des volumes supplémentaires obtenus dans le cadre de la croissance et de l'ouverture en réglant une sur-cotisation.</w:t>
      </w:r>
    </w:p>
    <w:p w14:paraId="7692DBA5" w14:textId="77777777" w:rsidR="00685E04" w:rsidRDefault="00963ECD">
      <w:pPr>
        <w:widowControl w:val="0"/>
        <w:spacing w:after="240"/>
        <w:jc w:val="both"/>
      </w:pPr>
      <w:r>
        <w:t>Les sur-cotisations réglées au cours d'une campagne et remboursées sont constitutives de la référence de l’atelier pour les campagnes suivantes.</w:t>
      </w:r>
    </w:p>
    <w:p w14:paraId="7B013090" w14:textId="77777777" w:rsidR="00685E04" w:rsidRDefault="00963ECD">
      <w:pPr>
        <w:jc w:val="both"/>
      </w:pPr>
      <w:r>
        <w:rPr>
          <w:noProof/>
        </w:rPr>
        <mc:AlternateContent>
          <mc:Choice Requires="wps">
            <w:drawing>
              <wp:anchor distT="0" distB="0" distL="114300" distR="114300" simplePos="0" relativeHeight="20" behindDoc="0" locked="0" layoutInCell="1" allowOverlap="1" wp14:anchorId="7667DDA9" wp14:editId="09AF8C31">
                <wp:simplePos x="0" y="0"/>
                <wp:positionH relativeFrom="page">
                  <wp:posOffset>781050</wp:posOffset>
                </wp:positionH>
                <wp:positionV relativeFrom="paragraph">
                  <wp:posOffset>49530</wp:posOffset>
                </wp:positionV>
                <wp:extent cx="6202680" cy="2168525"/>
                <wp:effectExtent l="6350" t="0" r="4445" b="0"/>
                <wp:wrapSquare wrapText="bothSides"/>
                <wp:docPr id="2" name="Cadre1"/>
                <wp:cNvGraphicFramePr/>
                <a:graphic xmlns:a="http://schemas.openxmlformats.org/drawingml/2006/main">
                  <a:graphicData uri="http://schemas.microsoft.com/office/word/2010/wordprocessingShape">
                    <wps:wsp>
                      <wps:cNvSpPr/>
                      <wps:spPr>
                        <a:xfrm>
                          <a:off x="0" y="0"/>
                          <a:ext cx="6202080" cy="216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Cadre1" stroked="f" style="position:absolute;margin-left:61.5pt;margin-top:3.9pt;width:488.3pt;height:170.65pt;mso-position-horizontal-relative:page" wp14:anchorId="420FBB5A">
                <w10:wrap type="none"/>
                <v:fill on="false" o:detectmouseclick="t"/>
                <v:stroke color="#3465a4" joinstyle="round" endcap="flat"/>
              </v:rect>
            </w:pict>
          </mc:Fallback>
        </mc:AlternateContent>
      </w:r>
      <w:r>
        <w:rPr>
          <w:noProof/>
        </w:rPr>
        <mc:AlternateContent>
          <mc:Choice Requires="wps">
            <w:drawing>
              <wp:anchor distT="72390" distB="72390" distL="72390" distR="72390" simplePos="0" relativeHeight="58" behindDoc="0" locked="0" layoutInCell="1" allowOverlap="1" wp14:anchorId="2EA1E794" wp14:editId="143DDFF3">
                <wp:simplePos x="0" y="0"/>
                <wp:positionH relativeFrom="page">
                  <wp:posOffset>781050</wp:posOffset>
                </wp:positionH>
                <wp:positionV relativeFrom="paragraph">
                  <wp:posOffset>49530</wp:posOffset>
                </wp:positionV>
                <wp:extent cx="6202045" cy="2168525"/>
                <wp:effectExtent l="6350" t="0" r="5080" b="0"/>
                <wp:wrapNone/>
                <wp:docPr id="3" name="Text Box 5"/>
                <wp:cNvGraphicFramePr/>
                <a:graphic xmlns:a="http://schemas.openxmlformats.org/drawingml/2006/main">
                  <a:graphicData uri="http://schemas.microsoft.com/office/word/2010/wordprocessingShape">
                    <wps:wsp>
                      <wps:cNvSpPr/>
                      <wps:spPr>
                        <a:xfrm>
                          <a:off x="0" y="0"/>
                          <a:ext cx="6201360" cy="21679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tbl>
                            <w:tblPr>
                              <w:tblW w:w="9757" w:type="dxa"/>
                              <w:tblInd w:w="-3" w:type="dxa"/>
                              <w:tblBorders>
                                <w:top w:val="single" w:sz="4" w:space="0" w:color="00000A"/>
                                <w:left w:val="single" w:sz="4" w:space="0" w:color="00000A"/>
                                <w:bottom w:val="single" w:sz="4" w:space="0" w:color="00000A"/>
                                <w:insideH w:val="single" w:sz="4" w:space="0" w:color="00000A"/>
                              </w:tblBorders>
                              <w:tblCellMar>
                                <w:left w:w="-2" w:type="dxa"/>
                              </w:tblCellMar>
                              <w:tblLook w:val="0000" w:firstRow="0" w:lastRow="0" w:firstColumn="0" w:lastColumn="0" w:noHBand="0" w:noVBand="0"/>
                            </w:tblPr>
                            <w:tblGrid>
                              <w:gridCol w:w="2653"/>
                              <w:gridCol w:w="3544"/>
                              <w:gridCol w:w="3560"/>
                            </w:tblGrid>
                            <w:tr w:rsidR="00337C43" w14:paraId="04CE3040" w14:textId="77777777">
                              <w:tc>
                                <w:tcPr>
                                  <w:tcW w:w="2653" w:type="dxa"/>
                                  <w:tcBorders>
                                    <w:top w:val="single" w:sz="4" w:space="0" w:color="00000A"/>
                                    <w:left w:val="single" w:sz="4" w:space="0" w:color="00000A"/>
                                    <w:bottom w:val="single" w:sz="4" w:space="0" w:color="00000A"/>
                                  </w:tcBorders>
                                  <w:shd w:val="clear" w:color="auto" w:fill="FFFFFF"/>
                                  <w:tcMar>
                                    <w:left w:w="-2" w:type="dxa"/>
                                  </w:tcMar>
                                </w:tcPr>
                                <w:p w14:paraId="55315E34" w14:textId="77777777" w:rsidR="00337C43" w:rsidRDefault="00337C43">
                                  <w:pPr>
                                    <w:pStyle w:val="Contenudecadre"/>
                                    <w:snapToGrid w:val="0"/>
                                    <w:ind w:left="142" w:hanging="142"/>
                                  </w:pPr>
                                </w:p>
                              </w:tc>
                              <w:tc>
                                <w:tcPr>
                                  <w:tcW w:w="3544" w:type="dxa"/>
                                  <w:tcBorders>
                                    <w:top w:val="single" w:sz="4" w:space="0" w:color="00000A"/>
                                    <w:left w:val="single" w:sz="4" w:space="0" w:color="00000A"/>
                                    <w:bottom w:val="single" w:sz="4" w:space="0" w:color="00000A"/>
                                  </w:tcBorders>
                                  <w:shd w:val="clear" w:color="auto" w:fill="FFFFFF"/>
                                  <w:tcMar>
                                    <w:left w:w="-2" w:type="dxa"/>
                                  </w:tcMar>
                                </w:tcPr>
                                <w:p w14:paraId="61F7CF26" w14:textId="77777777" w:rsidR="00337C43" w:rsidRDefault="00337C43">
                                  <w:pPr>
                                    <w:pStyle w:val="Contenudecadre"/>
                                    <w:ind w:left="142" w:hanging="142"/>
                                    <w:jc w:val="center"/>
                                    <w:rPr>
                                      <w:b/>
                                    </w:rPr>
                                  </w:pPr>
                                  <w:r>
                                    <w:rPr>
                                      <w:b/>
                                    </w:rPr>
                                    <w:t xml:space="preserve">Si production principale </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14:paraId="7AD2D1F9" w14:textId="77777777" w:rsidR="00337C43" w:rsidRDefault="00337C43">
                                  <w:pPr>
                                    <w:pStyle w:val="Contenudecadre"/>
                                    <w:ind w:left="142" w:hanging="142"/>
                                    <w:jc w:val="center"/>
                                  </w:pPr>
                                  <w:r>
                                    <w:rPr>
                                      <w:b/>
                                    </w:rPr>
                                    <w:t>Si production secondaire</w:t>
                                  </w:r>
                                </w:p>
                              </w:tc>
                            </w:tr>
                            <w:tr w:rsidR="00337C43" w14:paraId="46B2CD5D" w14:textId="77777777">
                              <w:tc>
                                <w:tcPr>
                                  <w:tcW w:w="2653" w:type="dxa"/>
                                  <w:tcBorders>
                                    <w:top w:val="single" w:sz="4" w:space="0" w:color="00000A"/>
                                    <w:left w:val="single" w:sz="4" w:space="0" w:color="00000A"/>
                                    <w:bottom w:val="single" w:sz="4" w:space="0" w:color="00000A"/>
                                  </w:tcBorders>
                                  <w:shd w:val="clear" w:color="auto" w:fill="FFFFFF"/>
                                  <w:tcMar>
                                    <w:left w:w="-2" w:type="dxa"/>
                                  </w:tcMar>
                                  <w:vAlign w:val="center"/>
                                </w:tcPr>
                                <w:p w14:paraId="751DC536" w14:textId="77777777" w:rsidR="00337C43" w:rsidRDefault="00337C43">
                                  <w:pPr>
                                    <w:pStyle w:val="Contenudecadre"/>
                                    <w:ind w:left="142" w:hanging="142"/>
                                    <w:jc w:val="center"/>
                                  </w:pPr>
                                  <w:r>
                                    <w:rPr>
                                      <w:b/>
                                    </w:rPr>
                                    <w:t>Nouvel atelier Abondance fermier</w:t>
                                  </w:r>
                                </w:p>
                              </w:tc>
                              <w:tc>
                                <w:tcPr>
                                  <w:tcW w:w="3544" w:type="dxa"/>
                                  <w:tcBorders>
                                    <w:top w:val="single" w:sz="4" w:space="0" w:color="00000A"/>
                                    <w:left w:val="single" w:sz="4" w:space="0" w:color="00000A"/>
                                    <w:bottom w:val="single" w:sz="4" w:space="0" w:color="00000A"/>
                                  </w:tcBorders>
                                  <w:shd w:val="clear" w:color="auto" w:fill="FFFFFF"/>
                                  <w:tcMar>
                                    <w:left w:w="-2" w:type="dxa"/>
                                  </w:tcMar>
                                  <w:vAlign w:val="center"/>
                                </w:tcPr>
                                <w:p w14:paraId="1223B124" w14:textId="77777777" w:rsidR="00337C43" w:rsidRDefault="00337C43">
                                  <w:pPr>
                                    <w:pStyle w:val="Contenudecadre"/>
                                    <w:ind w:left="142" w:hanging="142"/>
                                    <w:jc w:val="center"/>
                                  </w:pPr>
                                  <w:r>
                                    <w:t>Sur-cotisation de 5 x le prix de la plaque fermière pour les meules fabriquées entre 6 et 8 T (+100% du volume) et de 20 x pour celles dépassant 8 T</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vAlign w:val="center"/>
                                </w:tcPr>
                                <w:p w14:paraId="7E4F63C1" w14:textId="77777777" w:rsidR="00337C43" w:rsidRDefault="00337C43">
                                  <w:pPr>
                                    <w:pStyle w:val="Contenudecadre"/>
                                    <w:ind w:left="142" w:hanging="142"/>
                                    <w:jc w:val="center"/>
                                  </w:pPr>
                                  <w:r>
                                    <w:t>Sur-cotisation de 5 x le prix de la plaque fermière pour les meules fabriquées entre 2 et 2,2 T (+10% du volume) et de 20 x pour celles dépassant 2,2 T</w:t>
                                  </w:r>
                                </w:p>
                              </w:tc>
                            </w:tr>
                            <w:tr w:rsidR="00337C43" w14:paraId="722CFE24" w14:textId="77777777">
                              <w:tc>
                                <w:tcPr>
                                  <w:tcW w:w="2653" w:type="dxa"/>
                                  <w:tcBorders>
                                    <w:top w:val="single" w:sz="4" w:space="0" w:color="00000A"/>
                                    <w:left w:val="single" w:sz="4" w:space="0" w:color="00000A"/>
                                    <w:bottom w:val="single" w:sz="4" w:space="0" w:color="00000A"/>
                                  </w:tcBorders>
                                  <w:shd w:val="clear" w:color="auto" w:fill="FFFFFF"/>
                                  <w:tcMar>
                                    <w:left w:w="-2" w:type="dxa"/>
                                  </w:tcMar>
                                  <w:vAlign w:val="center"/>
                                </w:tcPr>
                                <w:p w14:paraId="547D3224" w14:textId="77777777" w:rsidR="00337C43" w:rsidRDefault="00337C43">
                                  <w:pPr>
                                    <w:pStyle w:val="Contenudecadre"/>
                                    <w:ind w:left="142" w:hanging="142"/>
                                    <w:jc w:val="center"/>
                                  </w:pPr>
                                  <w:r>
                                    <w:rPr>
                                      <w:b/>
                                    </w:rPr>
                                    <w:t>Nouvel atelier Abondance laitier</w:t>
                                  </w:r>
                                </w:p>
                                <w:p w14:paraId="61F9623F" w14:textId="77777777" w:rsidR="00337C43" w:rsidRDefault="00337C43">
                                  <w:pPr>
                                    <w:pStyle w:val="Contenudecadre"/>
                                    <w:ind w:left="142" w:hanging="142"/>
                                    <w:jc w:val="center"/>
                                  </w:pPr>
                                </w:p>
                              </w:tc>
                              <w:tc>
                                <w:tcPr>
                                  <w:tcW w:w="3544" w:type="dxa"/>
                                  <w:tcBorders>
                                    <w:top w:val="single" w:sz="4" w:space="0" w:color="00000A"/>
                                    <w:left w:val="single" w:sz="4" w:space="0" w:color="00000A"/>
                                    <w:bottom w:val="single" w:sz="4" w:space="0" w:color="00000A"/>
                                  </w:tcBorders>
                                  <w:shd w:val="clear" w:color="auto" w:fill="FFFFFF"/>
                                  <w:tcMar>
                                    <w:left w:w="-2" w:type="dxa"/>
                                  </w:tcMar>
                                  <w:vAlign w:val="center"/>
                                </w:tcPr>
                                <w:p w14:paraId="373AFC8E" w14:textId="77777777" w:rsidR="00337C43" w:rsidRDefault="00337C43">
                                  <w:pPr>
                                    <w:pStyle w:val="Contenudecadre"/>
                                    <w:ind w:left="142" w:hanging="142"/>
                                    <w:jc w:val="center"/>
                                  </w:pPr>
                                  <w:r>
                                    <w:t>Sur-cotisation de 5 x le prix de la plaque laitière pour les meules fabriquées entre 40 et 44 T (+10% du volume) et de 20 x pour celles dépassant 44 T</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vAlign w:val="center"/>
                                </w:tcPr>
                                <w:p w14:paraId="6CF79C1D" w14:textId="77777777" w:rsidR="00337C43" w:rsidRDefault="00337C43">
                                  <w:pPr>
                                    <w:pStyle w:val="Contenudecadre"/>
                                    <w:ind w:left="142" w:hanging="142"/>
                                    <w:jc w:val="center"/>
                                  </w:pPr>
                                  <w:r>
                                    <w:t>Sur-cotisation de 5 x le prix de la plaque laitière pour les meules fabriquées entre 20 et 22 T (+10% du volume) et de 20 x pour celles dépassant 22 T</w:t>
                                  </w:r>
                                </w:p>
                              </w:tc>
                            </w:tr>
                          </w:tbl>
                          <w:p w14:paraId="431EA3CA" w14:textId="77777777" w:rsidR="00337C43" w:rsidRDefault="00337C43">
                            <w:pPr>
                              <w:pStyle w:val="Contenudecadre"/>
                            </w:pPr>
                          </w:p>
                        </w:txbxContent>
                      </wps:txbx>
                      <wps:bodyPr lIns="0" tIns="0" rIns="0" bIns="0">
                        <a:noAutofit/>
                      </wps:bodyPr>
                    </wps:wsp>
                  </a:graphicData>
                </a:graphic>
              </wp:anchor>
            </w:drawing>
          </mc:Choice>
          <mc:Fallback>
            <w:pict>
              <v:rect w14:anchorId="2EA1E794" id="Text Box 5" o:spid="_x0000_s1026" style="position:absolute;left:0;text-align:left;margin-left:61.5pt;margin-top:3.9pt;width:488.35pt;height:170.75pt;z-index:58;visibility:visible;mso-wrap-style:square;mso-wrap-distance-left:5.7pt;mso-wrap-distance-top:5.7pt;mso-wrap-distance-right:5.7pt;mso-wrap-distance-bottom:5.7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" stroked="f">
                <v:textbox inset="0,0,0,0">
                  <w:txbxContent>
                    <w:tbl>
                      <w:tblPr>
                        <w:tblW w:w="9757" w:type="dxa"/>
                        <w:tblInd w:w="-3" w:type="dxa"/>
                        <w:tblBorders>
                          <w:top w:val="single" w:sz="4" w:space="0" w:color="00000A"/>
                          <w:left w:val="single" w:sz="4" w:space="0" w:color="00000A"/>
                          <w:bottom w:val="single" w:sz="4" w:space="0" w:color="00000A"/>
                          <w:insideH w:val="single" w:sz="4" w:space="0" w:color="00000A"/>
                        </w:tblBorders>
                        <w:tblCellMar>
                          <w:left w:w="-2" w:type="dxa"/>
                        </w:tblCellMar>
                        <w:tblLook w:val="0000" w:firstRow="0" w:lastRow="0" w:firstColumn="0" w:lastColumn="0" w:noHBand="0" w:noVBand="0"/>
                      </w:tblPr>
                      <w:tblGrid>
                        <w:gridCol w:w="2653"/>
                        <w:gridCol w:w="3544"/>
                        <w:gridCol w:w="3560"/>
                      </w:tblGrid>
                      <w:tr w:rsidR="00337C43" w14:paraId="04CE3040" w14:textId="77777777">
                        <w:tc>
                          <w:tcPr>
                            <w:tcW w:w="2653" w:type="dxa"/>
                            <w:tcBorders>
                              <w:top w:val="single" w:sz="4" w:space="0" w:color="00000A"/>
                              <w:left w:val="single" w:sz="4" w:space="0" w:color="00000A"/>
                              <w:bottom w:val="single" w:sz="4" w:space="0" w:color="00000A"/>
                            </w:tcBorders>
                            <w:shd w:val="clear" w:color="auto" w:fill="FFFFFF"/>
                            <w:tcMar>
                              <w:left w:w="-2" w:type="dxa"/>
                            </w:tcMar>
                          </w:tcPr>
                          <w:p w14:paraId="55315E34" w14:textId="77777777" w:rsidR="00337C43" w:rsidRDefault="00337C43">
                            <w:pPr>
                              <w:pStyle w:val="Contenudecadre"/>
                              <w:snapToGrid w:val="0"/>
                              <w:ind w:left="142" w:hanging="142"/>
                            </w:pPr>
                          </w:p>
                        </w:tc>
                        <w:tc>
                          <w:tcPr>
                            <w:tcW w:w="3544" w:type="dxa"/>
                            <w:tcBorders>
                              <w:top w:val="single" w:sz="4" w:space="0" w:color="00000A"/>
                              <w:left w:val="single" w:sz="4" w:space="0" w:color="00000A"/>
                              <w:bottom w:val="single" w:sz="4" w:space="0" w:color="00000A"/>
                            </w:tcBorders>
                            <w:shd w:val="clear" w:color="auto" w:fill="FFFFFF"/>
                            <w:tcMar>
                              <w:left w:w="-2" w:type="dxa"/>
                            </w:tcMar>
                          </w:tcPr>
                          <w:p w14:paraId="61F7CF26" w14:textId="77777777" w:rsidR="00337C43" w:rsidRDefault="00337C43">
                            <w:pPr>
                              <w:pStyle w:val="Contenudecadre"/>
                              <w:ind w:left="142" w:hanging="142"/>
                              <w:jc w:val="center"/>
                              <w:rPr>
                                <w:b/>
                              </w:rPr>
                            </w:pPr>
                            <w:r>
                              <w:rPr>
                                <w:b/>
                              </w:rPr>
                              <w:t xml:space="preserve">Si production principale </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14:paraId="7AD2D1F9" w14:textId="77777777" w:rsidR="00337C43" w:rsidRDefault="00337C43">
                            <w:pPr>
                              <w:pStyle w:val="Contenudecadre"/>
                              <w:ind w:left="142" w:hanging="142"/>
                              <w:jc w:val="center"/>
                            </w:pPr>
                            <w:r>
                              <w:rPr>
                                <w:b/>
                              </w:rPr>
                              <w:t>Si production secondaire</w:t>
                            </w:r>
                          </w:p>
                        </w:tc>
                      </w:tr>
                      <w:tr w:rsidR="00337C43" w14:paraId="46B2CD5D" w14:textId="77777777">
                        <w:tc>
                          <w:tcPr>
                            <w:tcW w:w="2653" w:type="dxa"/>
                            <w:tcBorders>
                              <w:top w:val="single" w:sz="4" w:space="0" w:color="00000A"/>
                              <w:left w:val="single" w:sz="4" w:space="0" w:color="00000A"/>
                              <w:bottom w:val="single" w:sz="4" w:space="0" w:color="00000A"/>
                            </w:tcBorders>
                            <w:shd w:val="clear" w:color="auto" w:fill="FFFFFF"/>
                            <w:tcMar>
                              <w:left w:w="-2" w:type="dxa"/>
                            </w:tcMar>
                            <w:vAlign w:val="center"/>
                          </w:tcPr>
                          <w:p w14:paraId="751DC536" w14:textId="77777777" w:rsidR="00337C43" w:rsidRDefault="00337C43">
                            <w:pPr>
                              <w:pStyle w:val="Contenudecadre"/>
                              <w:ind w:left="142" w:hanging="142"/>
                              <w:jc w:val="center"/>
                            </w:pPr>
                            <w:r>
                              <w:rPr>
                                <w:b/>
                              </w:rPr>
                              <w:t>Nouvel atelier Abondance fermier</w:t>
                            </w:r>
                          </w:p>
                        </w:tc>
                        <w:tc>
                          <w:tcPr>
                            <w:tcW w:w="3544" w:type="dxa"/>
                            <w:tcBorders>
                              <w:top w:val="single" w:sz="4" w:space="0" w:color="00000A"/>
                              <w:left w:val="single" w:sz="4" w:space="0" w:color="00000A"/>
                              <w:bottom w:val="single" w:sz="4" w:space="0" w:color="00000A"/>
                            </w:tcBorders>
                            <w:shd w:val="clear" w:color="auto" w:fill="FFFFFF"/>
                            <w:tcMar>
                              <w:left w:w="-2" w:type="dxa"/>
                            </w:tcMar>
                            <w:vAlign w:val="center"/>
                          </w:tcPr>
                          <w:p w14:paraId="1223B124" w14:textId="77777777" w:rsidR="00337C43" w:rsidRDefault="00337C43">
                            <w:pPr>
                              <w:pStyle w:val="Contenudecadre"/>
                              <w:ind w:left="142" w:hanging="142"/>
                              <w:jc w:val="center"/>
                            </w:pPr>
                            <w:r>
                              <w:t>Sur-cotisation de 5 x le prix de la plaque fermière pour les meules fabriquées entre 6 et 8 T (+100% du volume) et de 20 x pour celles dépassant 8 T</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vAlign w:val="center"/>
                          </w:tcPr>
                          <w:p w14:paraId="7E4F63C1" w14:textId="77777777" w:rsidR="00337C43" w:rsidRDefault="00337C43">
                            <w:pPr>
                              <w:pStyle w:val="Contenudecadre"/>
                              <w:ind w:left="142" w:hanging="142"/>
                              <w:jc w:val="center"/>
                            </w:pPr>
                            <w:r>
                              <w:t>Sur-cotisation de 5 x le prix de la plaque fermière pour les meules fabriquées entre 2 et 2,2 T (+10% du volume) et de 20 x pour celles dépassant 2,2 T</w:t>
                            </w:r>
                          </w:p>
                        </w:tc>
                      </w:tr>
                      <w:tr w:rsidR="00337C43" w14:paraId="722CFE24" w14:textId="77777777">
                        <w:tc>
                          <w:tcPr>
                            <w:tcW w:w="2653" w:type="dxa"/>
                            <w:tcBorders>
                              <w:top w:val="single" w:sz="4" w:space="0" w:color="00000A"/>
                              <w:left w:val="single" w:sz="4" w:space="0" w:color="00000A"/>
                              <w:bottom w:val="single" w:sz="4" w:space="0" w:color="00000A"/>
                            </w:tcBorders>
                            <w:shd w:val="clear" w:color="auto" w:fill="FFFFFF"/>
                            <w:tcMar>
                              <w:left w:w="-2" w:type="dxa"/>
                            </w:tcMar>
                            <w:vAlign w:val="center"/>
                          </w:tcPr>
                          <w:p w14:paraId="547D3224" w14:textId="77777777" w:rsidR="00337C43" w:rsidRDefault="00337C43">
                            <w:pPr>
                              <w:pStyle w:val="Contenudecadre"/>
                              <w:ind w:left="142" w:hanging="142"/>
                              <w:jc w:val="center"/>
                            </w:pPr>
                            <w:r>
                              <w:rPr>
                                <w:b/>
                              </w:rPr>
                              <w:t>Nouvel atelier Abondance laitier</w:t>
                            </w:r>
                          </w:p>
                          <w:p w14:paraId="61F9623F" w14:textId="77777777" w:rsidR="00337C43" w:rsidRDefault="00337C43">
                            <w:pPr>
                              <w:pStyle w:val="Contenudecadre"/>
                              <w:ind w:left="142" w:hanging="142"/>
                              <w:jc w:val="center"/>
                            </w:pPr>
                          </w:p>
                        </w:tc>
                        <w:tc>
                          <w:tcPr>
                            <w:tcW w:w="3544" w:type="dxa"/>
                            <w:tcBorders>
                              <w:top w:val="single" w:sz="4" w:space="0" w:color="00000A"/>
                              <w:left w:val="single" w:sz="4" w:space="0" w:color="00000A"/>
                              <w:bottom w:val="single" w:sz="4" w:space="0" w:color="00000A"/>
                            </w:tcBorders>
                            <w:shd w:val="clear" w:color="auto" w:fill="FFFFFF"/>
                            <w:tcMar>
                              <w:left w:w="-2" w:type="dxa"/>
                            </w:tcMar>
                            <w:vAlign w:val="center"/>
                          </w:tcPr>
                          <w:p w14:paraId="373AFC8E" w14:textId="77777777" w:rsidR="00337C43" w:rsidRDefault="00337C43">
                            <w:pPr>
                              <w:pStyle w:val="Contenudecadre"/>
                              <w:ind w:left="142" w:hanging="142"/>
                              <w:jc w:val="center"/>
                            </w:pPr>
                            <w:r>
                              <w:t>Sur-cotisation de 5 x le prix de la plaque laitière pour les meules fabriquées entre 40 et 44 T (+10% du volume) et de 20 x pour celles dépassant 44 T</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vAlign w:val="center"/>
                          </w:tcPr>
                          <w:p w14:paraId="6CF79C1D" w14:textId="77777777" w:rsidR="00337C43" w:rsidRDefault="00337C43">
                            <w:pPr>
                              <w:pStyle w:val="Contenudecadre"/>
                              <w:ind w:left="142" w:hanging="142"/>
                              <w:jc w:val="center"/>
                            </w:pPr>
                            <w:r>
                              <w:t>Sur-cotisation de 5 x le prix de la plaque laitière pour les meules fabriquées entre 20 et 22 T (+10% du volume) et de 20 x pour celles dépassant 22 T</w:t>
                            </w:r>
                          </w:p>
                        </w:tc>
                      </w:tr>
                    </w:tbl>
                    <w:p w14:paraId="431EA3CA" w14:textId="77777777" w:rsidR="00337C43" w:rsidRDefault="00337C43">
                      <w:pPr>
                        <w:pStyle w:val="Contenudecadre"/>
                      </w:pPr>
                    </w:p>
                  </w:txbxContent>
                </v:textbox>
                <w10:wrap anchorx="page"/>
              </v:rect>
            </w:pict>
          </mc:Fallback>
        </mc:AlternateContent>
      </w:r>
    </w:p>
    <w:p w14:paraId="77B10C9B" w14:textId="77777777" w:rsidR="00685E04" w:rsidRDefault="00963ECD" w:rsidP="00B15E27">
      <w:pPr>
        <w:pStyle w:val="Titre1"/>
        <w:numPr>
          <w:ilvl w:val="0"/>
          <w:numId w:val="5"/>
        </w:numPr>
        <w:jc w:val="both"/>
      </w:pPr>
      <w:bookmarkStart w:id="65" w:name="_Toc383267583"/>
      <w:bookmarkStart w:id="66" w:name="_Toc351042981"/>
      <w:bookmarkStart w:id="67" w:name="_Toc348965874"/>
      <w:bookmarkStart w:id="68" w:name="_Toc536180045"/>
      <w:bookmarkEnd w:id="65"/>
      <w:bookmarkEnd w:id="66"/>
      <w:bookmarkEnd w:id="67"/>
      <w:r>
        <w:t>Mécanisme de remboursement de la sur-cotisation</w:t>
      </w:r>
      <w:bookmarkEnd w:id="68"/>
    </w:p>
    <w:p w14:paraId="5E3D7FBB" w14:textId="77777777" w:rsidR="00685E04" w:rsidRDefault="00685E04"/>
    <w:p w14:paraId="785A18A6" w14:textId="77777777" w:rsidR="00685E04" w:rsidRDefault="00963ECD">
      <w:pPr>
        <w:pStyle w:val="Titre2"/>
        <w:numPr>
          <w:ilvl w:val="1"/>
          <w:numId w:val="5"/>
        </w:numPr>
      </w:pPr>
      <w:bookmarkStart w:id="69" w:name="_Toc383267584"/>
      <w:bookmarkStart w:id="70" w:name="_Toc351042982"/>
      <w:bookmarkStart w:id="71" w:name="_Toc348965875"/>
      <w:bookmarkStart w:id="72" w:name="_Toc536180046"/>
      <w:bookmarkEnd w:id="69"/>
      <w:bookmarkEnd w:id="70"/>
      <w:bookmarkEnd w:id="71"/>
      <w:r>
        <w:t>Prise en compte de la création de nouveaux marchés</w:t>
      </w:r>
      <w:bookmarkEnd w:id="72"/>
    </w:p>
    <w:p w14:paraId="337091D7" w14:textId="77777777" w:rsidR="00685E04" w:rsidRDefault="00685E04">
      <w:pPr>
        <w:jc w:val="both"/>
        <w:rPr>
          <w:b/>
        </w:rPr>
      </w:pPr>
    </w:p>
    <w:p w14:paraId="0097B090" w14:textId="77777777" w:rsidR="00685E04" w:rsidRDefault="00963ECD">
      <w:pPr>
        <w:jc w:val="both"/>
      </w:pPr>
      <w:r>
        <w:t>En cours de campagne, un atelier obtenant un nouveau marché additionnel aux volumes de ventes de la filière (création d’un nouveau marché à la filière), sans avoir la possibilité de l’honorer par ses propres moyens, peut le produire en payant une sur-cotisation et prétendre à son remboursement, sous conditions (et sans dépasser la limite de 5 millions de litres de lait maximum transformés par an pour les ateliers laitiers, comme le stipule le cahier des charges de l’AOP Abondance).</w:t>
      </w:r>
    </w:p>
    <w:p w14:paraId="565D346A" w14:textId="77777777" w:rsidR="00685E04" w:rsidRDefault="00685E04">
      <w:pPr>
        <w:jc w:val="both"/>
      </w:pPr>
    </w:p>
    <w:p w14:paraId="50B0B7E0" w14:textId="77777777" w:rsidR="00685E04" w:rsidRDefault="00963ECD">
      <w:pPr>
        <w:jc w:val="both"/>
      </w:pPr>
      <w:r>
        <w:t>Un dossier devra pour cela être déposé au SIFA et sera examiné de manière anonyme par la Commission de conciliation et de gestion. Il devra présenter les preuves de création du nouveau marché additionnel aux volumes de ventes de la filière ainsi que le volume d’Abondance produit et vendu dans le cadre de ce nouveau marché. La notion de nouveau marché peut se définir par une des façons suivantes :</w:t>
      </w:r>
    </w:p>
    <w:p w14:paraId="268AEADD" w14:textId="66E0D350" w:rsidR="00685E04" w:rsidRDefault="00963ECD">
      <w:pPr>
        <w:pStyle w:val="Paragraphedeliste1"/>
        <w:numPr>
          <w:ilvl w:val="0"/>
          <w:numId w:val="14"/>
        </w:numPr>
        <w:jc w:val="both"/>
      </w:pPr>
      <w:r>
        <w:rPr>
          <w:rFonts w:asciiTheme="minorHAnsi" w:hAnsiTheme="minorHAnsi"/>
          <w:sz w:val="24"/>
          <w:szCs w:val="24"/>
        </w:rPr>
        <w:lastRenderedPageBreak/>
        <w:t>Accroissement du volume d’Abondance vendu en vente directe (magasin d’opérateurs, vente à la ferme, marchés, Associations pour le Maintien d'une Agriculture Paysanne (AMAP)...).</w:t>
      </w:r>
    </w:p>
    <w:p w14:paraId="3A60D5A3" w14:textId="5A177F19" w:rsidR="00685E04" w:rsidRDefault="00963ECD">
      <w:pPr>
        <w:pStyle w:val="Paragraphedeliste1"/>
        <w:numPr>
          <w:ilvl w:val="0"/>
          <w:numId w:val="14"/>
        </w:numPr>
        <w:jc w:val="both"/>
      </w:pPr>
      <w:r>
        <w:rPr>
          <w:rFonts w:asciiTheme="minorHAnsi" w:hAnsiTheme="minorHAnsi"/>
          <w:sz w:val="24"/>
          <w:szCs w:val="24"/>
        </w:rPr>
        <w:t>Nouveau référencement auprès d’un distributeur, d’un magasin, d’un acteur de la restauration hors foyer (RHF) ou encore de l’industrie de seconde transformation ne proposant jusqu’alors pas d’Abondance sur le marché national.</w:t>
      </w:r>
    </w:p>
    <w:p w14:paraId="2FF08E48" w14:textId="77777777" w:rsidR="00685E04" w:rsidRDefault="00963ECD">
      <w:pPr>
        <w:pStyle w:val="Paragraphedeliste1"/>
        <w:numPr>
          <w:ilvl w:val="0"/>
          <w:numId w:val="14"/>
        </w:numPr>
        <w:jc w:val="both"/>
        <w:rPr>
          <w:rFonts w:asciiTheme="minorHAnsi" w:hAnsiTheme="minorHAnsi"/>
          <w:sz w:val="24"/>
          <w:szCs w:val="24"/>
        </w:rPr>
      </w:pPr>
      <w:r>
        <w:rPr>
          <w:rFonts w:asciiTheme="minorHAnsi" w:hAnsiTheme="minorHAnsi"/>
          <w:sz w:val="24"/>
          <w:szCs w:val="24"/>
        </w:rPr>
        <w:t>Nouveau référencement auprès d’un distributeur, d’un magasin, d’un acteur de la restauration hors foyer (RHF) ou encore de l’industrie de seconde transformation ne proposant jusqu’alors pas d’Abondance sur le marché à l’export.</w:t>
      </w:r>
    </w:p>
    <w:p w14:paraId="3A8F1F3F" w14:textId="77777777" w:rsidR="00685E04" w:rsidRDefault="00963ECD">
      <w:pPr>
        <w:widowControl w:val="0"/>
        <w:suppressAutoHyphens w:val="0"/>
        <w:spacing w:after="240"/>
      </w:pPr>
      <w:r>
        <w:t>La Commission de conciliation et de gestion pourra statuer au cas par cas en fonction de la diversité des demandes.</w:t>
      </w:r>
    </w:p>
    <w:p w14:paraId="1FAE8B7B" w14:textId="77777777" w:rsidR="00685E04" w:rsidRDefault="00963ECD">
      <w:pPr>
        <w:jc w:val="both"/>
      </w:pPr>
      <w:r>
        <w:t>En cas de décision positive de la Commission de conciliation et de gestion, le SIFA procédera au remboursement des sur-cotisations à hauteur du volume réellement commercialisé dans le cadre de ce nouveau marché.</w:t>
      </w:r>
    </w:p>
    <w:p w14:paraId="0629AE20" w14:textId="77777777" w:rsidR="00685E04" w:rsidRDefault="00685E04">
      <w:pPr>
        <w:jc w:val="both"/>
      </w:pPr>
    </w:p>
    <w:p w14:paraId="0809BD32" w14:textId="77777777" w:rsidR="00685E04" w:rsidRDefault="00963ECD">
      <w:pPr>
        <w:jc w:val="both"/>
      </w:pPr>
      <w:r>
        <w:t xml:space="preserve">Ce volume supplémentaire commercialisé sera pris en compte dans la référence de base de l’atelier pour la campagne N+1, au même titre que les références supplémentaires accordées dans le cadre de l’ouverture. </w:t>
      </w:r>
    </w:p>
    <w:p w14:paraId="78ABEA26" w14:textId="77777777" w:rsidR="00685E04" w:rsidRDefault="00963ECD">
      <w:pPr>
        <w:pStyle w:val="Titre2"/>
        <w:numPr>
          <w:ilvl w:val="1"/>
          <w:numId w:val="5"/>
        </w:numPr>
      </w:pPr>
      <w:bookmarkStart w:id="73" w:name="_Toc383267585"/>
      <w:bookmarkStart w:id="74" w:name="_Toc351042983"/>
      <w:bookmarkStart w:id="75" w:name="_Toc348965876"/>
      <w:bookmarkStart w:id="76" w:name="_Toc536180047"/>
      <w:bookmarkEnd w:id="73"/>
      <w:bookmarkEnd w:id="74"/>
      <w:bookmarkEnd w:id="75"/>
      <w:r>
        <w:t>Prise en compte des accidents de fabrication</w:t>
      </w:r>
      <w:bookmarkEnd w:id="76"/>
    </w:p>
    <w:p w14:paraId="76429C7A" w14:textId="77777777" w:rsidR="00685E04" w:rsidRDefault="00685E04">
      <w:pPr>
        <w:jc w:val="both"/>
      </w:pPr>
    </w:p>
    <w:p w14:paraId="7479EB14" w14:textId="77777777" w:rsidR="00685E04" w:rsidRDefault="00963ECD">
      <w:pPr>
        <w:jc w:val="both"/>
      </w:pPr>
      <w:r>
        <w:t>En cours de campagne, un atelier faisant l’objet d’un important déclassement de production pourra faire une demande de remboursement de la sur-cotisation appelée sur la campagne correspondant au volume de fromage déclassé.</w:t>
      </w:r>
    </w:p>
    <w:p w14:paraId="043C5ABA" w14:textId="77777777" w:rsidR="00685E04" w:rsidRDefault="00685E04">
      <w:pPr>
        <w:jc w:val="both"/>
      </w:pPr>
    </w:p>
    <w:p w14:paraId="1A7139CF" w14:textId="77777777" w:rsidR="00685E04" w:rsidRDefault="00963ECD">
      <w:pPr>
        <w:jc w:val="both"/>
      </w:pPr>
      <w:r>
        <w:t>Un dossier devra pour cela être déposé au SIFA et sera examiné de manière anonyme par la Commission de conciliation et de gestion. Il devra présenter le(s) lien(s) de cause à effet du problème ayant déclenché le déclassement, les preuves du volume déclassé, ainsi que les mesures engagées pour résoudre le(s) problème(s) présenté(s).</w:t>
      </w:r>
    </w:p>
    <w:p w14:paraId="04C3826F" w14:textId="77777777" w:rsidR="00685E04" w:rsidRDefault="00685E04">
      <w:pPr>
        <w:jc w:val="both"/>
      </w:pPr>
    </w:p>
    <w:p w14:paraId="5B6F93B2" w14:textId="77777777" w:rsidR="00685E04" w:rsidRDefault="00963ECD">
      <w:pPr>
        <w:jc w:val="both"/>
      </w:pPr>
      <w:r>
        <w:t>En cas de décision positive de la Commission de conciliation et de gestion, le SIFA procédera au remboursement des sur-cotisations à hauteur du volume correspondant aux fromages déclassés.</w:t>
      </w:r>
    </w:p>
    <w:p w14:paraId="6281F66B" w14:textId="77777777" w:rsidR="00685E04" w:rsidRDefault="00963ECD">
      <w:pPr>
        <w:pStyle w:val="Titre1"/>
        <w:numPr>
          <w:ilvl w:val="0"/>
          <w:numId w:val="5"/>
        </w:numPr>
        <w:jc w:val="both"/>
      </w:pPr>
      <w:bookmarkStart w:id="77" w:name="_Toc383267586"/>
      <w:bookmarkStart w:id="78" w:name="_Toc351042984"/>
      <w:bookmarkStart w:id="79" w:name="move3481808207637"/>
      <w:bookmarkStart w:id="80" w:name="__RefHeading___Toc34881035138"/>
      <w:bookmarkStart w:id="81" w:name="_Toc348965877"/>
      <w:bookmarkStart w:id="82" w:name="_Toc536180048"/>
      <w:bookmarkEnd w:id="77"/>
      <w:bookmarkEnd w:id="78"/>
      <w:bookmarkEnd w:id="79"/>
      <w:bookmarkEnd w:id="80"/>
      <w:bookmarkEnd w:id="81"/>
      <w:r>
        <w:t>Commission de conciliation et de gestion</w:t>
      </w:r>
      <w:bookmarkEnd w:id="82"/>
    </w:p>
    <w:p w14:paraId="2ED75026" w14:textId="77777777" w:rsidR="00685E04" w:rsidRDefault="00685E04">
      <w:pPr>
        <w:jc w:val="both"/>
      </w:pPr>
    </w:p>
    <w:p w14:paraId="152A7D27" w14:textId="77777777" w:rsidR="00685E04" w:rsidRDefault="00963ECD">
      <w:pPr>
        <w:jc w:val="both"/>
      </w:pPr>
      <w:r>
        <w:t>La Commission de conciliation et de gestion peut être saisie pour régler les litiges survenant notamment à l’occasion de l’application de ces Règles de Régulation de l’Offre (par exemple, contestation des volumes d'ouverture attribués, de la définition de la référence de base...), ainsi que pour statuer sur les mécanismes prévus de remboursement de la sur-cotisation.</w:t>
      </w:r>
    </w:p>
    <w:p w14:paraId="1A0FEF40" w14:textId="77777777" w:rsidR="00685E04" w:rsidRDefault="00685E04">
      <w:pPr>
        <w:jc w:val="both"/>
      </w:pPr>
    </w:p>
    <w:p w14:paraId="705A38EC" w14:textId="77777777" w:rsidR="00685E04" w:rsidRDefault="00963ECD">
      <w:pPr>
        <w:suppressAutoHyphens w:val="0"/>
        <w:jc w:val="both"/>
      </w:pPr>
      <w:r>
        <w:t>Les opérateurs ont la possibilité de faire appel auprès de la Commission de conciliation et de gestion qui examinera les réclamations en fonction des preuves techniques et/ou comptables qui lui seront fournies.</w:t>
      </w:r>
    </w:p>
    <w:p w14:paraId="5046AB4C" w14:textId="77777777" w:rsidR="00685E04" w:rsidRDefault="00685E04">
      <w:pPr>
        <w:jc w:val="both"/>
      </w:pPr>
    </w:p>
    <w:p w14:paraId="42265C4C" w14:textId="77777777" w:rsidR="00685E04" w:rsidRDefault="00963ECD">
      <w:pPr>
        <w:jc w:val="both"/>
      </w:pPr>
      <w:r>
        <w:t>Elle est composée de 6 administrateurs volontaires du SIFA répartis de la façon suivante :</w:t>
      </w:r>
    </w:p>
    <w:p w14:paraId="54AFB9B5" w14:textId="77777777" w:rsidR="00685E04" w:rsidRDefault="00685E04"/>
    <w:p w14:paraId="74743662" w14:textId="77777777" w:rsidR="00685E04" w:rsidRDefault="00963ECD">
      <w:pPr>
        <w:pStyle w:val="Paragraphedeliste1"/>
        <w:numPr>
          <w:ilvl w:val="0"/>
          <w:numId w:val="4"/>
        </w:numPr>
        <w:rPr>
          <w:rFonts w:asciiTheme="minorHAnsi" w:hAnsiTheme="minorHAnsi"/>
          <w:sz w:val="24"/>
          <w:szCs w:val="24"/>
        </w:rPr>
      </w:pPr>
      <w:r>
        <w:rPr>
          <w:rFonts w:asciiTheme="minorHAnsi" w:hAnsiTheme="minorHAnsi"/>
          <w:sz w:val="24"/>
          <w:szCs w:val="24"/>
        </w:rPr>
        <w:t>2 administrateurs issus du collège des producteurs de lait ;</w:t>
      </w:r>
    </w:p>
    <w:p w14:paraId="29574171" w14:textId="77777777" w:rsidR="00685E04" w:rsidRDefault="00963ECD">
      <w:pPr>
        <w:pStyle w:val="Paragraphedeliste1"/>
        <w:numPr>
          <w:ilvl w:val="0"/>
          <w:numId w:val="4"/>
        </w:numPr>
        <w:rPr>
          <w:rFonts w:asciiTheme="minorHAnsi" w:hAnsiTheme="minorHAnsi"/>
          <w:sz w:val="24"/>
          <w:szCs w:val="24"/>
        </w:rPr>
      </w:pPr>
      <w:r>
        <w:rPr>
          <w:rFonts w:asciiTheme="minorHAnsi" w:hAnsiTheme="minorHAnsi"/>
          <w:sz w:val="24"/>
          <w:szCs w:val="24"/>
        </w:rPr>
        <w:t>2 administrateurs issus du collège des producteurs fermiers ;</w:t>
      </w:r>
    </w:p>
    <w:p w14:paraId="13765F00" w14:textId="77777777" w:rsidR="00685E04" w:rsidRDefault="00963ECD">
      <w:pPr>
        <w:pStyle w:val="Paragraphedeliste1"/>
        <w:numPr>
          <w:ilvl w:val="0"/>
          <w:numId w:val="4"/>
        </w:numPr>
        <w:rPr>
          <w:rFonts w:asciiTheme="minorHAnsi" w:hAnsiTheme="minorHAnsi"/>
          <w:sz w:val="24"/>
          <w:szCs w:val="24"/>
        </w:rPr>
      </w:pPr>
      <w:r>
        <w:rPr>
          <w:rFonts w:asciiTheme="minorHAnsi" w:hAnsiTheme="minorHAnsi"/>
          <w:sz w:val="24"/>
          <w:szCs w:val="24"/>
        </w:rPr>
        <w:t>2 administrateurs issus du collège des fromagers / affineurs.</w:t>
      </w:r>
    </w:p>
    <w:p w14:paraId="3F273966" w14:textId="77777777" w:rsidR="00685E04" w:rsidRDefault="00685E04">
      <w:pPr>
        <w:jc w:val="both"/>
      </w:pPr>
    </w:p>
    <w:p w14:paraId="5ED1D2F2" w14:textId="77777777" w:rsidR="00685E04" w:rsidRDefault="00963ECD">
      <w:pPr>
        <w:suppressAutoHyphens w:val="0"/>
        <w:jc w:val="both"/>
      </w:pPr>
      <w:r>
        <w:rPr>
          <w:color w:val="000000"/>
        </w:rPr>
        <w:t>Les membres de la Commission de conciliation et de gestion sont tenus à la confidentialité tant en ce qui concerne les dossiers étudiés que les débats.</w:t>
      </w:r>
    </w:p>
    <w:p w14:paraId="32968666" w14:textId="77777777" w:rsidR="00685E04" w:rsidRDefault="00685E04">
      <w:pPr>
        <w:suppressAutoHyphens w:val="0"/>
        <w:jc w:val="both"/>
      </w:pPr>
    </w:p>
    <w:p w14:paraId="53AED3E4" w14:textId="77777777" w:rsidR="00685E04" w:rsidRDefault="00963ECD">
      <w:pPr>
        <w:suppressAutoHyphens w:val="0"/>
        <w:jc w:val="both"/>
      </w:pPr>
      <w:r>
        <w:t xml:space="preserve">Dans le cas d’un dossier devant être examiné et qui concernerait l’un des membres de la commission, un autre administrateur volontaire, issu du même collège prendra sa place au sein de la commission. </w:t>
      </w:r>
      <w:r>
        <w:br w:type="page"/>
      </w:r>
    </w:p>
    <w:p w14:paraId="7503ADB0" w14:textId="77777777" w:rsidR="00685E04" w:rsidRDefault="00963ECD">
      <w:pPr>
        <w:pStyle w:val="Titre20"/>
        <w:jc w:val="both"/>
      </w:pPr>
      <w:r>
        <w:lastRenderedPageBreak/>
        <w:t>Les modalités de l’accord de régulation de l’offre pour les campagnes 2019 / 2020 et 2020 / 2021</w:t>
      </w:r>
    </w:p>
    <w:p w14:paraId="292B2D4E" w14:textId="77777777" w:rsidR="00685E04" w:rsidRDefault="00963ECD">
      <w:pPr>
        <w:spacing w:line="252" w:lineRule="auto"/>
        <w:jc w:val="both"/>
      </w:pPr>
      <w:bookmarkStart w:id="83" w:name="_Toc348965878"/>
      <w:bookmarkStart w:id="84" w:name="_Toc383267587"/>
      <w:bookmarkEnd w:id="83"/>
      <w:r>
        <w:t>Pour les campagnes 2019/2020 et 2020/2021, les modalités précises de l’accord seront validées par décision du Conseil d’Administration.</w:t>
      </w:r>
    </w:p>
    <w:p w14:paraId="7875C041" w14:textId="77777777" w:rsidR="00685E04" w:rsidRDefault="00963ECD">
      <w:pPr>
        <w:pStyle w:val="Titre1"/>
        <w:numPr>
          <w:ilvl w:val="0"/>
          <w:numId w:val="6"/>
        </w:numPr>
        <w:jc w:val="both"/>
      </w:pPr>
      <w:bookmarkStart w:id="85" w:name="_Toc351042985"/>
      <w:bookmarkStart w:id="86" w:name="_Toc536180049"/>
      <w:r>
        <w:t>Détermination de la référence pour les campagnes 2019/</w:t>
      </w:r>
      <w:bookmarkEnd w:id="85"/>
      <w:r>
        <w:t>20</w:t>
      </w:r>
      <w:bookmarkEnd w:id="84"/>
      <w:r>
        <w:t>20 et 2020/2021</w:t>
      </w:r>
      <w:bookmarkEnd w:id="86"/>
    </w:p>
    <w:p w14:paraId="585D8349" w14:textId="77777777" w:rsidR="00685E04" w:rsidRDefault="00685E04">
      <w:pPr>
        <w:jc w:val="both"/>
        <w:rPr>
          <w:b/>
        </w:rPr>
      </w:pPr>
    </w:p>
    <w:p w14:paraId="16826329" w14:textId="44AF6E19" w:rsidR="00685E04" w:rsidRDefault="00963ECD">
      <w:pPr>
        <w:jc w:val="both"/>
      </w:pPr>
      <w:r>
        <w:t>Pour chaque opérateur déjà en place, la référence pour la campagne laitière 2019/2020 correspond à la référence de base de l’opérateur (moyenne des fabrications des trois dernières années civiles) à laquelle s’ajoutent les références supplémentaires accordées dans le cadre de l’ouverture des opérateurs déjà en place et les volumes ayant fait l’objet d’un remboursement de surcotisations. A cette référence globale est appliqué le taux additionnel de croissance 2019/2020.</w:t>
      </w:r>
    </w:p>
    <w:p w14:paraId="2322D4FE" w14:textId="77777777" w:rsidR="00685E04" w:rsidRDefault="00685E04">
      <w:pPr>
        <w:jc w:val="both"/>
      </w:pPr>
    </w:p>
    <w:p w14:paraId="0A51D77D" w14:textId="77777777" w:rsidR="00685E04" w:rsidRDefault="00963ECD">
      <w:pPr>
        <w:jc w:val="both"/>
      </w:pPr>
      <w:r>
        <w:t>S'agissant des ateliers ayant moins de trois années d'historique de production :</w:t>
      </w:r>
    </w:p>
    <w:p w14:paraId="00C48745" w14:textId="77777777" w:rsidR="00685E04" w:rsidRDefault="00685E04">
      <w:pPr>
        <w:jc w:val="both"/>
      </w:pPr>
    </w:p>
    <w:p w14:paraId="0E85FFAB" w14:textId="77777777" w:rsidR="00685E04" w:rsidRDefault="00963ECD">
      <w:pPr>
        <w:spacing w:line="252" w:lineRule="auto"/>
      </w:pPr>
      <w:r>
        <w:rPr>
          <w:i/>
        </w:rPr>
        <w:t>- Pour un atelier fromager créé au cours de l’année 2018 :</w:t>
      </w:r>
    </w:p>
    <w:p w14:paraId="45ADECEF" w14:textId="191F9F09" w:rsidR="00685E04" w:rsidRDefault="00963ECD">
      <w:pPr>
        <w:numPr>
          <w:ilvl w:val="0"/>
          <w:numId w:val="11"/>
        </w:numPr>
        <w:spacing w:line="252" w:lineRule="auto"/>
        <w:jc w:val="both"/>
      </w:pPr>
      <w:r>
        <w:t>Si sa fabrication 2018 dépasse le forfait prévu dans le tableau ci-dessous, sa référence de base équivaudra à sa fabrication 2018.</w:t>
      </w:r>
    </w:p>
    <w:p w14:paraId="3C675970" w14:textId="77777777" w:rsidR="00685E04" w:rsidRDefault="00963ECD">
      <w:pPr>
        <w:numPr>
          <w:ilvl w:val="0"/>
          <w:numId w:val="11"/>
        </w:numPr>
        <w:spacing w:line="252" w:lineRule="auto"/>
        <w:jc w:val="both"/>
      </w:pPr>
      <w:r>
        <w:t>Si sa fabrication 2018 ne dépasse pas ledit forfait, sa référence de base équivaudra au forfait prévu dans le tableau.</w:t>
      </w:r>
    </w:p>
    <w:p w14:paraId="63DF004B" w14:textId="77777777" w:rsidR="00685E04" w:rsidRDefault="00685E04">
      <w:pPr>
        <w:spacing w:line="252" w:lineRule="auto"/>
      </w:pPr>
    </w:p>
    <w:p w14:paraId="7D1B1895" w14:textId="77777777" w:rsidR="00685E04" w:rsidRDefault="00963ECD">
      <w:pPr>
        <w:spacing w:line="252" w:lineRule="auto"/>
      </w:pPr>
      <w:r>
        <w:rPr>
          <w:i/>
        </w:rPr>
        <w:t>- Pour un atelier fromager créé au cours des années 2016 ou 2017 :</w:t>
      </w:r>
    </w:p>
    <w:p w14:paraId="138AF615" w14:textId="6D24C999" w:rsidR="00685E04" w:rsidRDefault="00963ECD">
      <w:pPr>
        <w:numPr>
          <w:ilvl w:val="0"/>
          <w:numId w:val="11"/>
        </w:numPr>
        <w:spacing w:line="252" w:lineRule="auto"/>
        <w:jc w:val="both"/>
      </w:pPr>
      <w:r>
        <w:t>Si au moins une de ses fabrications annuelles dépasse le forfait prévu dans le tableau ci-dessous, sa référence de base équivaudra à sa meilleure année de fabrication.</w:t>
      </w:r>
    </w:p>
    <w:p w14:paraId="550F311C" w14:textId="77777777" w:rsidR="00685E04" w:rsidRDefault="00963ECD">
      <w:pPr>
        <w:numPr>
          <w:ilvl w:val="0"/>
          <w:numId w:val="11"/>
        </w:numPr>
        <w:spacing w:line="252" w:lineRule="auto"/>
        <w:jc w:val="both"/>
      </w:pPr>
      <w:r>
        <w:t>Si aucune de ses fabrications annuelles ne dépasse ledit forfait, sa référence de base équivaudra au forfait du tableau.</w:t>
      </w:r>
    </w:p>
    <w:p w14:paraId="42DBE2D4" w14:textId="77777777" w:rsidR="00685E04" w:rsidRDefault="00685E04">
      <w:pPr>
        <w:spacing w:line="252" w:lineRule="auto"/>
      </w:pPr>
    </w:p>
    <w:p w14:paraId="0899A8D3" w14:textId="1D0EC1CF" w:rsidR="00685E04" w:rsidRDefault="00963ECD">
      <w:pPr>
        <w:jc w:val="both"/>
      </w:pPr>
      <w:r>
        <w:t>Pour chaque opérateur déjà en place, la référence pour la campagne laitière 2020/2021 correspond à la référence de base de l’opérateur (moyenne des fabrications des trois dernières années civiles) à laquelle s’ajoutent les références supplémentaires accordées dans le cadre de l’ouverture des opérateurs déjà en place et les volumes ayant fait l’objet d’un remboursement de surcotisations. A cette référence globale est appliqué le taux additionnel de croissance 2020/2021.</w:t>
      </w:r>
    </w:p>
    <w:p w14:paraId="09EE56E9" w14:textId="77777777" w:rsidR="00685E04" w:rsidRDefault="00685E04">
      <w:pPr>
        <w:jc w:val="both"/>
      </w:pPr>
    </w:p>
    <w:p w14:paraId="1788DB39" w14:textId="77777777" w:rsidR="00685E04" w:rsidRDefault="00963ECD">
      <w:pPr>
        <w:jc w:val="both"/>
      </w:pPr>
      <w:r>
        <w:t>S'agissant des ateliers ayant moins de trois années d'historique de production :</w:t>
      </w:r>
    </w:p>
    <w:p w14:paraId="784EE47B" w14:textId="77777777" w:rsidR="00685E04" w:rsidRDefault="00685E04">
      <w:pPr>
        <w:jc w:val="both"/>
      </w:pPr>
    </w:p>
    <w:p w14:paraId="05A04D88" w14:textId="77777777" w:rsidR="00685E04" w:rsidRDefault="00963ECD">
      <w:pPr>
        <w:spacing w:line="252" w:lineRule="auto"/>
      </w:pPr>
      <w:r>
        <w:rPr>
          <w:i/>
        </w:rPr>
        <w:t>- Pour un atelier fromager créé au cours de l’année 2019 :</w:t>
      </w:r>
    </w:p>
    <w:p w14:paraId="71CAFDD8" w14:textId="5A2DD1B4" w:rsidR="00685E04" w:rsidRDefault="00963ECD">
      <w:pPr>
        <w:numPr>
          <w:ilvl w:val="0"/>
          <w:numId w:val="11"/>
        </w:numPr>
        <w:spacing w:line="252" w:lineRule="auto"/>
        <w:jc w:val="both"/>
      </w:pPr>
      <w:r>
        <w:t>Si sa fabrication 2019 dépasse le forfait prévu dans le tableau ci-dessous, sa référence de base équivaudra à sa fabrication 2019.</w:t>
      </w:r>
    </w:p>
    <w:p w14:paraId="13794474" w14:textId="77777777" w:rsidR="00685E04" w:rsidRDefault="00963ECD">
      <w:pPr>
        <w:numPr>
          <w:ilvl w:val="0"/>
          <w:numId w:val="11"/>
        </w:numPr>
        <w:spacing w:line="252" w:lineRule="auto"/>
        <w:jc w:val="both"/>
      </w:pPr>
      <w:r>
        <w:lastRenderedPageBreak/>
        <w:t>Si sa fabrication 2019 ne dépasse pas ledit forfait, sa référence de base équivaudra au forfait prévu dans le tableau.</w:t>
      </w:r>
    </w:p>
    <w:p w14:paraId="2E43C8B8" w14:textId="77777777" w:rsidR="00685E04" w:rsidRDefault="00685E04">
      <w:pPr>
        <w:spacing w:line="252" w:lineRule="auto"/>
      </w:pPr>
    </w:p>
    <w:p w14:paraId="7978059E" w14:textId="77777777" w:rsidR="00685E04" w:rsidRDefault="00963ECD">
      <w:pPr>
        <w:spacing w:line="252" w:lineRule="auto"/>
      </w:pPr>
      <w:r>
        <w:rPr>
          <w:i/>
        </w:rPr>
        <w:t>- Pour un atelier fromager créé au cours des années 2017 ou 2018 :</w:t>
      </w:r>
    </w:p>
    <w:p w14:paraId="0C7C893E" w14:textId="2AD2C660" w:rsidR="00685E04" w:rsidRDefault="00963ECD">
      <w:pPr>
        <w:numPr>
          <w:ilvl w:val="0"/>
          <w:numId w:val="11"/>
        </w:numPr>
        <w:spacing w:line="252" w:lineRule="auto"/>
        <w:jc w:val="both"/>
      </w:pPr>
      <w:r>
        <w:t>Si au moins une de ses fabrications annuelles dépasse le forfait prévu dans le tableau ci-dessous, sa référence de base équivaudra à sa meilleure année de fabrication.</w:t>
      </w:r>
    </w:p>
    <w:p w14:paraId="20A9D954" w14:textId="77777777" w:rsidR="00685E04" w:rsidRDefault="00963ECD">
      <w:pPr>
        <w:numPr>
          <w:ilvl w:val="0"/>
          <w:numId w:val="11"/>
        </w:numPr>
        <w:spacing w:line="252" w:lineRule="auto"/>
        <w:jc w:val="both"/>
      </w:pPr>
      <w:r>
        <w:t>Si aucune de ses fabrications annuelles ne dépasse ledit forfait, sa référence de base équivaudra au forfait du tableau.</w:t>
      </w:r>
    </w:p>
    <w:p w14:paraId="2F034222" w14:textId="77777777" w:rsidR="00685E04" w:rsidRDefault="00685E04">
      <w:pPr>
        <w:spacing w:line="252" w:lineRule="auto"/>
      </w:pPr>
    </w:p>
    <w:p w14:paraId="2B0CEB4B" w14:textId="77777777" w:rsidR="00685E04" w:rsidRDefault="00685E04">
      <w:pPr>
        <w:spacing w:line="252" w:lineRule="auto"/>
      </w:pPr>
    </w:p>
    <w:tbl>
      <w:tblPr>
        <w:tblW w:w="9474" w:type="dxa"/>
        <w:tblInd w:w="-110" w:type="dxa"/>
        <w:tblBorders>
          <w:top w:val="single" w:sz="4" w:space="0" w:color="00000A"/>
          <w:left w:val="single" w:sz="4" w:space="0" w:color="00000A"/>
          <w:bottom w:val="single" w:sz="4" w:space="0" w:color="00000A"/>
          <w:insideH w:val="single" w:sz="4" w:space="0" w:color="00000A"/>
        </w:tblBorders>
        <w:tblCellMar>
          <w:left w:w="3" w:type="dxa"/>
        </w:tblCellMar>
        <w:tblLook w:val="0000" w:firstRow="0" w:lastRow="0" w:firstColumn="0" w:lastColumn="0" w:noHBand="0" w:noVBand="0"/>
      </w:tblPr>
      <w:tblGrid>
        <w:gridCol w:w="5349"/>
        <w:gridCol w:w="2053"/>
        <w:gridCol w:w="2072"/>
      </w:tblGrid>
      <w:tr w:rsidR="00685E04" w14:paraId="5FFEC146" w14:textId="77777777">
        <w:tc>
          <w:tcPr>
            <w:tcW w:w="5349" w:type="dxa"/>
            <w:tcBorders>
              <w:top w:val="single" w:sz="4" w:space="0" w:color="00000A"/>
              <w:left w:val="single" w:sz="4" w:space="0" w:color="00000A"/>
              <w:bottom w:val="single" w:sz="4" w:space="0" w:color="00000A"/>
            </w:tcBorders>
            <w:shd w:val="clear" w:color="auto" w:fill="FFFFFF"/>
            <w:tcMar>
              <w:left w:w="3" w:type="dxa"/>
            </w:tcMar>
          </w:tcPr>
          <w:p w14:paraId="29AB6707" w14:textId="77777777" w:rsidR="00685E04" w:rsidRDefault="00685E04">
            <w:pPr>
              <w:snapToGrid w:val="0"/>
            </w:pPr>
          </w:p>
        </w:tc>
        <w:tc>
          <w:tcPr>
            <w:tcW w:w="2053" w:type="dxa"/>
            <w:tcBorders>
              <w:top w:val="single" w:sz="4" w:space="0" w:color="00000A"/>
              <w:left w:val="single" w:sz="4" w:space="0" w:color="00000A"/>
              <w:bottom w:val="single" w:sz="4" w:space="0" w:color="00000A"/>
            </w:tcBorders>
            <w:shd w:val="clear" w:color="auto" w:fill="FFFFFF"/>
            <w:tcMar>
              <w:left w:w="3" w:type="dxa"/>
            </w:tcMar>
          </w:tcPr>
          <w:p w14:paraId="2F9C35A9" w14:textId="77777777" w:rsidR="00685E04" w:rsidRDefault="00963ECD">
            <w:pPr>
              <w:jc w:val="center"/>
              <w:rPr>
                <w:b/>
              </w:rPr>
            </w:pPr>
            <w:r>
              <w:rPr>
                <w:b/>
              </w:rPr>
              <w:t>Fabrication laitière</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tcPr>
          <w:p w14:paraId="16C35E20" w14:textId="77777777" w:rsidR="00685E04" w:rsidRDefault="00963ECD">
            <w:pPr>
              <w:jc w:val="center"/>
            </w:pPr>
            <w:r>
              <w:rPr>
                <w:b/>
              </w:rPr>
              <w:t>Fabrication fermière</w:t>
            </w:r>
          </w:p>
        </w:tc>
      </w:tr>
      <w:tr w:rsidR="00685E04" w14:paraId="65382AE5" w14:textId="77777777">
        <w:tc>
          <w:tcPr>
            <w:tcW w:w="5349" w:type="dxa"/>
            <w:tcBorders>
              <w:top w:val="single" w:sz="4" w:space="0" w:color="00000A"/>
              <w:left w:val="single" w:sz="4" w:space="0" w:color="00000A"/>
              <w:bottom w:val="single" w:sz="4" w:space="0" w:color="00000A"/>
            </w:tcBorders>
            <w:shd w:val="clear" w:color="auto" w:fill="FFFFFF"/>
            <w:tcMar>
              <w:left w:w="3" w:type="dxa"/>
            </w:tcMar>
          </w:tcPr>
          <w:p w14:paraId="4B49777E" w14:textId="77777777" w:rsidR="00685E04" w:rsidRDefault="00963ECD">
            <w:r>
              <w:rPr>
                <w:b/>
              </w:rPr>
              <w:t>Production principale</w:t>
            </w:r>
            <w:r>
              <w:t xml:space="preserve"> : </w:t>
            </w:r>
          </w:p>
          <w:p w14:paraId="5C79E72D" w14:textId="77777777" w:rsidR="00685E04" w:rsidRDefault="00963ECD">
            <w:r>
              <w:t>La fabrication d’Abondance est la principale production de l’atelier concerné par l’habilitation.</w:t>
            </w:r>
          </w:p>
        </w:tc>
        <w:tc>
          <w:tcPr>
            <w:tcW w:w="2053" w:type="dxa"/>
            <w:tcBorders>
              <w:top w:val="single" w:sz="4" w:space="0" w:color="00000A"/>
              <w:left w:val="single" w:sz="4" w:space="0" w:color="00000A"/>
              <w:bottom w:val="single" w:sz="4" w:space="0" w:color="00000A"/>
            </w:tcBorders>
            <w:shd w:val="clear" w:color="auto" w:fill="FFFFFF"/>
            <w:tcMar>
              <w:left w:w="3" w:type="dxa"/>
            </w:tcMar>
            <w:vAlign w:val="center"/>
          </w:tcPr>
          <w:p w14:paraId="4BA69159" w14:textId="77777777" w:rsidR="00685E04" w:rsidRDefault="00963ECD">
            <w:pPr>
              <w:jc w:val="center"/>
            </w:pPr>
            <w:r>
              <w:t>40 T</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5022E1AB" w14:textId="77777777" w:rsidR="00685E04" w:rsidRDefault="00963ECD">
            <w:pPr>
              <w:jc w:val="center"/>
            </w:pPr>
            <w:r>
              <w:t>6 T</w:t>
            </w:r>
          </w:p>
        </w:tc>
      </w:tr>
      <w:tr w:rsidR="00685E04" w14:paraId="23A76AF6" w14:textId="77777777">
        <w:tc>
          <w:tcPr>
            <w:tcW w:w="5349" w:type="dxa"/>
            <w:tcBorders>
              <w:top w:val="single" w:sz="4" w:space="0" w:color="00000A"/>
              <w:left w:val="single" w:sz="4" w:space="0" w:color="00000A"/>
              <w:bottom w:val="single" w:sz="4" w:space="0" w:color="00000A"/>
            </w:tcBorders>
            <w:shd w:val="clear" w:color="auto" w:fill="FFFFFF"/>
            <w:tcMar>
              <w:left w:w="3" w:type="dxa"/>
            </w:tcMar>
          </w:tcPr>
          <w:p w14:paraId="36D281DD" w14:textId="77777777" w:rsidR="00685E04" w:rsidRDefault="00963ECD">
            <w:r>
              <w:rPr>
                <w:b/>
              </w:rPr>
              <w:t>Production secondaire</w:t>
            </w:r>
            <w:r>
              <w:t xml:space="preserve"> : </w:t>
            </w:r>
          </w:p>
          <w:p w14:paraId="44CCB9A0" w14:textId="77777777" w:rsidR="00685E04" w:rsidRDefault="00963ECD">
            <w:r>
              <w:t>La fabrication d’Abondance est une production annexe de l’atelier concerné par l’habilitation.</w:t>
            </w:r>
          </w:p>
        </w:tc>
        <w:tc>
          <w:tcPr>
            <w:tcW w:w="2053" w:type="dxa"/>
            <w:tcBorders>
              <w:top w:val="single" w:sz="4" w:space="0" w:color="00000A"/>
              <w:left w:val="single" w:sz="4" w:space="0" w:color="00000A"/>
              <w:bottom w:val="single" w:sz="4" w:space="0" w:color="00000A"/>
            </w:tcBorders>
            <w:shd w:val="clear" w:color="auto" w:fill="FFFFFF"/>
            <w:tcMar>
              <w:left w:w="3" w:type="dxa"/>
            </w:tcMar>
            <w:vAlign w:val="center"/>
          </w:tcPr>
          <w:p w14:paraId="7CFA0DC2" w14:textId="77777777" w:rsidR="00685E04" w:rsidRDefault="00963ECD">
            <w:pPr>
              <w:jc w:val="center"/>
            </w:pPr>
            <w:r>
              <w:t>20 T</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1FEEB521" w14:textId="77777777" w:rsidR="00685E04" w:rsidRDefault="00963ECD">
            <w:pPr>
              <w:jc w:val="center"/>
            </w:pPr>
            <w:r>
              <w:t>2 T</w:t>
            </w:r>
          </w:p>
        </w:tc>
      </w:tr>
    </w:tbl>
    <w:p w14:paraId="4BA72DEC" w14:textId="77777777" w:rsidR="002B6448" w:rsidRDefault="002B6448" w:rsidP="002B6448">
      <w:pPr>
        <w:pStyle w:val="Titre1"/>
        <w:numPr>
          <w:ilvl w:val="0"/>
          <w:numId w:val="6"/>
        </w:numPr>
        <w:jc w:val="both"/>
      </w:pPr>
      <w:bookmarkStart w:id="87" w:name="_Toc536180050"/>
      <w:bookmarkStart w:id="88" w:name="_Toc348965879"/>
      <w:bookmarkStart w:id="89" w:name="_Toc351042986"/>
      <w:bookmarkStart w:id="90" w:name="_Toc383267588"/>
      <w:r>
        <w:t>Bilan des capacités de croissance et détermination du taux de référence additionnelle de début de campagne pour les ateliers en place</w:t>
      </w:r>
      <w:bookmarkEnd w:id="87"/>
    </w:p>
    <w:p w14:paraId="67999F68" w14:textId="77777777" w:rsidR="002B6448" w:rsidRDefault="002B6448" w:rsidP="002B6448">
      <w:pPr>
        <w:jc w:val="both"/>
      </w:pPr>
    </w:p>
    <w:p w14:paraId="0B854F79" w14:textId="77777777" w:rsidR="002B6448" w:rsidRDefault="002B6448" w:rsidP="002B6448">
      <w:pPr>
        <w:pStyle w:val="Titre2"/>
        <w:numPr>
          <w:ilvl w:val="1"/>
          <w:numId w:val="6"/>
        </w:numPr>
      </w:pPr>
      <w:bookmarkStart w:id="91" w:name="_Toc536180051"/>
      <w:r>
        <w:t>Bilan du marché et taux de croissance additionnel</w:t>
      </w:r>
      <w:bookmarkEnd w:id="91"/>
      <w:r>
        <w:t xml:space="preserve"> </w:t>
      </w:r>
    </w:p>
    <w:p w14:paraId="14467DA5" w14:textId="77777777" w:rsidR="002B6448" w:rsidRDefault="002B6448" w:rsidP="002B6448">
      <w:pPr>
        <w:jc w:val="both"/>
      </w:pPr>
    </w:p>
    <w:p w14:paraId="6F4EEE9E" w14:textId="77777777" w:rsidR="002B6448" w:rsidRDefault="002B6448" w:rsidP="002B6448">
      <w:pPr>
        <w:jc w:val="both"/>
        <w:rPr>
          <w:shd w:val="clear" w:color="auto" w:fill="FFFF00"/>
        </w:rPr>
      </w:pPr>
      <w:r>
        <w:t>L’Abondance fermier n’a pas connu de progression des fabrications en 2017, en raison d’une baisse de la production de lait liée aux conditions climatiques et à la qualité des fourrages. Les ventes ont en revanche été très soutenues, créant parfois des ruptures de stocks. Le marché est donc dynamique.</w:t>
      </w:r>
    </w:p>
    <w:p w14:paraId="42250EC5" w14:textId="77777777" w:rsidR="002B6448" w:rsidRDefault="002B6448" w:rsidP="002B6448">
      <w:pPr>
        <w:jc w:val="both"/>
      </w:pPr>
    </w:p>
    <w:p w14:paraId="22B480A6" w14:textId="77777777" w:rsidR="002B6448" w:rsidRDefault="002B6448" w:rsidP="002B6448">
      <w:pPr>
        <w:jc w:val="both"/>
      </w:pPr>
      <w:r>
        <w:t>En ce qui concerne l’Abondance laitier, les fabrications progressent fortement (+ 10 %), suite à une année 2016 de stagnation. Les ventes de l’Abondance laitier progressent également (+ 10,7 %). Aucune constitution de stock inhabituelle n’est observée. Ainsi, il est constaté en décembre 2017, une baisse des stocks de - 3,7 % (soit - 13 tonnes) par rapport au même mois de l’année 2016.</w:t>
      </w:r>
    </w:p>
    <w:p w14:paraId="01B8150F" w14:textId="77777777" w:rsidR="002B6448" w:rsidRDefault="002B6448" w:rsidP="002B6448">
      <w:pPr>
        <w:jc w:val="both"/>
      </w:pPr>
    </w:p>
    <w:p w14:paraId="0E0C8F22" w14:textId="77777777" w:rsidR="002B6448" w:rsidRDefault="002B6448" w:rsidP="002B6448">
      <w:pPr>
        <w:jc w:val="both"/>
      </w:pPr>
      <w:r>
        <w:t>Le taux additionnel de croissance sera déterminé par le Conseil d’administration en début d’année 2019 pour la campagne 2019/2020 et en début d’année 2020 pour la campagne 2020/2021.</w:t>
      </w:r>
    </w:p>
    <w:p w14:paraId="12DBC50D" w14:textId="77777777" w:rsidR="002B6448" w:rsidRDefault="002B6448" w:rsidP="002B6448">
      <w:pPr>
        <w:pStyle w:val="Titre2"/>
        <w:numPr>
          <w:ilvl w:val="1"/>
          <w:numId w:val="6"/>
        </w:numPr>
      </w:pPr>
      <w:bookmarkStart w:id="92" w:name="_Toc536180052"/>
      <w:r>
        <w:t>Ajustement à mi-campagne</w:t>
      </w:r>
      <w:bookmarkEnd w:id="92"/>
    </w:p>
    <w:p w14:paraId="142348F6" w14:textId="77777777" w:rsidR="002B6448" w:rsidRDefault="002B6448" w:rsidP="002B6448"/>
    <w:p w14:paraId="400AEC6B" w14:textId="6D1ACA57" w:rsidR="002B6448" w:rsidRDefault="002B6448" w:rsidP="00193C5C">
      <w:pPr>
        <w:jc w:val="both"/>
      </w:pPr>
      <w:r>
        <w:t>En cas de mise en place par le Conseil d’administration d’un pourcentage de modulation des références à mi-campagne, celui-ci sera communiqué aux ateliers en semaine 44 de l’année concernée.</w:t>
      </w:r>
    </w:p>
    <w:p w14:paraId="68BF2D24" w14:textId="57D9226F" w:rsidR="00685E04" w:rsidRDefault="00963ECD">
      <w:pPr>
        <w:pStyle w:val="Titre1"/>
        <w:numPr>
          <w:ilvl w:val="0"/>
          <w:numId w:val="6"/>
        </w:numPr>
        <w:jc w:val="both"/>
      </w:pPr>
      <w:bookmarkStart w:id="93" w:name="_Toc536180053"/>
      <w:r>
        <w:lastRenderedPageBreak/>
        <w:t>Détermination et répartition de l’ouverture</w:t>
      </w:r>
      <w:bookmarkEnd w:id="88"/>
      <w:bookmarkEnd w:id="89"/>
      <w:bookmarkEnd w:id="90"/>
      <w:bookmarkEnd w:id="93"/>
      <w:r>
        <w:t xml:space="preserve"> </w:t>
      </w:r>
    </w:p>
    <w:p w14:paraId="0933ACC0" w14:textId="77777777" w:rsidR="00685E04" w:rsidRDefault="00685E04">
      <w:pPr>
        <w:jc w:val="both"/>
      </w:pPr>
    </w:p>
    <w:p w14:paraId="1E770018" w14:textId="77777777" w:rsidR="00685E04" w:rsidRDefault="00963ECD">
      <w:pPr>
        <w:jc w:val="both"/>
      </w:pPr>
      <w:r>
        <w:t>Pour maintenir et garantir une ouverture du marché, l’Abondance scinde sa politique d’ouverture en deux catégories : les nouveaux opérateurs et les opérateurs commercialement les plus dynamiques déjà en place.</w:t>
      </w:r>
    </w:p>
    <w:p w14:paraId="564B50FD" w14:textId="77777777" w:rsidR="00685E04" w:rsidRDefault="00963ECD">
      <w:pPr>
        <w:pStyle w:val="Titre2"/>
        <w:numPr>
          <w:ilvl w:val="1"/>
          <w:numId w:val="1"/>
        </w:numPr>
      </w:pPr>
      <w:bookmarkStart w:id="94" w:name="_Toc383267589"/>
      <w:bookmarkStart w:id="95" w:name="_Toc351042987"/>
      <w:bookmarkStart w:id="96" w:name="_Toc348965880"/>
      <w:bookmarkStart w:id="97" w:name="_Toc536180054"/>
      <w:bookmarkEnd w:id="94"/>
      <w:bookmarkEnd w:id="95"/>
      <w:bookmarkEnd w:id="96"/>
      <w:r>
        <w:t>2.1 Ouverture pour les nouveaux ateliers</w:t>
      </w:r>
      <w:bookmarkEnd w:id="97"/>
    </w:p>
    <w:p w14:paraId="226EE390" w14:textId="77777777" w:rsidR="00685E04" w:rsidRDefault="00685E04">
      <w:pPr>
        <w:jc w:val="both"/>
      </w:pPr>
    </w:p>
    <w:tbl>
      <w:tblPr>
        <w:tblW w:w="9474" w:type="dxa"/>
        <w:tblInd w:w="-110" w:type="dxa"/>
        <w:tblBorders>
          <w:top w:val="single" w:sz="4" w:space="0" w:color="00000A"/>
          <w:left w:val="single" w:sz="4" w:space="0" w:color="00000A"/>
          <w:bottom w:val="single" w:sz="4" w:space="0" w:color="00000A"/>
          <w:insideH w:val="single" w:sz="4" w:space="0" w:color="00000A"/>
        </w:tblBorders>
        <w:tblCellMar>
          <w:left w:w="3" w:type="dxa"/>
        </w:tblCellMar>
        <w:tblLook w:val="0000" w:firstRow="0" w:lastRow="0" w:firstColumn="0" w:lastColumn="0" w:noHBand="0" w:noVBand="0"/>
      </w:tblPr>
      <w:tblGrid>
        <w:gridCol w:w="5349"/>
        <w:gridCol w:w="2053"/>
        <w:gridCol w:w="2072"/>
      </w:tblGrid>
      <w:tr w:rsidR="00685E04" w14:paraId="2292F14F" w14:textId="77777777">
        <w:tc>
          <w:tcPr>
            <w:tcW w:w="5349" w:type="dxa"/>
            <w:tcBorders>
              <w:top w:val="single" w:sz="4" w:space="0" w:color="00000A"/>
              <w:left w:val="single" w:sz="4" w:space="0" w:color="00000A"/>
              <w:bottom w:val="single" w:sz="4" w:space="0" w:color="00000A"/>
            </w:tcBorders>
            <w:shd w:val="clear" w:color="auto" w:fill="FFFFFF"/>
            <w:tcMar>
              <w:left w:w="3" w:type="dxa"/>
            </w:tcMar>
          </w:tcPr>
          <w:p w14:paraId="131CC323" w14:textId="77777777" w:rsidR="00685E04" w:rsidRDefault="00685E04">
            <w:pPr>
              <w:snapToGrid w:val="0"/>
            </w:pPr>
          </w:p>
        </w:tc>
        <w:tc>
          <w:tcPr>
            <w:tcW w:w="2053" w:type="dxa"/>
            <w:tcBorders>
              <w:top w:val="single" w:sz="4" w:space="0" w:color="00000A"/>
              <w:left w:val="single" w:sz="4" w:space="0" w:color="00000A"/>
              <w:bottom w:val="single" w:sz="4" w:space="0" w:color="00000A"/>
            </w:tcBorders>
            <w:shd w:val="clear" w:color="auto" w:fill="FFFFFF"/>
            <w:tcMar>
              <w:left w:w="3" w:type="dxa"/>
            </w:tcMar>
          </w:tcPr>
          <w:p w14:paraId="5176D58E" w14:textId="77777777" w:rsidR="00685E04" w:rsidRDefault="00963ECD">
            <w:pPr>
              <w:jc w:val="center"/>
              <w:rPr>
                <w:b/>
              </w:rPr>
            </w:pPr>
            <w:r>
              <w:rPr>
                <w:b/>
              </w:rPr>
              <w:t>Fabrication laitière</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tcPr>
          <w:p w14:paraId="56EB7922" w14:textId="77777777" w:rsidR="00685E04" w:rsidRDefault="00963ECD">
            <w:pPr>
              <w:jc w:val="center"/>
            </w:pPr>
            <w:r>
              <w:rPr>
                <w:b/>
              </w:rPr>
              <w:t>Fabrication fermière</w:t>
            </w:r>
          </w:p>
        </w:tc>
      </w:tr>
      <w:tr w:rsidR="00685E04" w14:paraId="035F41BE" w14:textId="77777777">
        <w:tc>
          <w:tcPr>
            <w:tcW w:w="5349" w:type="dxa"/>
            <w:tcBorders>
              <w:top w:val="single" w:sz="4" w:space="0" w:color="00000A"/>
              <w:left w:val="single" w:sz="4" w:space="0" w:color="00000A"/>
              <w:bottom w:val="single" w:sz="4" w:space="0" w:color="00000A"/>
            </w:tcBorders>
            <w:shd w:val="clear" w:color="auto" w:fill="FFFFFF"/>
            <w:tcMar>
              <w:left w:w="3" w:type="dxa"/>
            </w:tcMar>
          </w:tcPr>
          <w:p w14:paraId="7A402303" w14:textId="77777777" w:rsidR="00685E04" w:rsidRDefault="00963ECD">
            <w:r>
              <w:rPr>
                <w:b/>
              </w:rPr>
              <w:t>Production principale</w:t>
            </w:r>
            <w:r>
              <w:t xml:space="preserve"> : </w:t>
            </w:r>
          </w:p>
          <w:p w14:paraId="098C1697" w14:textId="77777777" w:rsidR="00685E04" w:rsidRDefault="00963ECD">
            <w:r>
              <w:t>La fabrication d’Abondance est la principale production de l’atelier concerné par l’habilitation.</w:t>
            </w:r>
          </w:p>
        </w:tc>
        <w:tc>
          <w:tcPr>
            <w:tcW w:w="2053" w:type="dxa"/>
            <w:tcBorders>
              <w:top w:val="single" w:sz="4" w:space="0" w:color="00000A"/>
              <w:left w:val="single" w:sz="4" w:space="0" w:color="00000A"/>
              <w:bottom w:val="single" w:sz="4" w:space="0" w:color="00000A"/>
            </w:tcBorders>
            <w:shd w:val="clear" w:color="auto" w:fill="FFFFFF"/>
            <w:tcMar>
              <w:left w:w="3" w:type="dxa"/>
            </w:tcMar>
            <w:vAlign w:val="center"/>
          </w:tcPr>
          <w:p w14:paraId="5E4B52EE" w14:textId="77777777" w:rsidR="00685E04" w:rsidRDefault="00963ECD">
            <w:pPr>
              <w:jc w:val="center"/>
            </w:pPr>
            <w:r>
              <w:t>40 T</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0AB95785" w14:textId="77777777" w:rsidR="00685E04" w:rsidRDefault="00963ECD">
            <w:pPr>
              <w:jc w:val="center"/>
            </w:pPr>
            <w:r>
              <w:t>6 T</w:t>
            </w:r>
          </w:p>
        </w:tc>
      </w:tr>
      <w:tr w:rsidR="00685E04" w14:paraId="62C9FAA7" w14:textId="77777777">
        <w:tc>
          <w:tcPr>
            <w:tcW w:w="5349" w:type="dxa"/>
            <w:tcBorders>
              <w:top w:val="single" w:sz="4" w:space="0" w:color="00000A"/>
              <w:left w:val="single" w:sz="4" w:space="0" w:color="00000A"/>
              <w:bottom w:val="single" w:sz="4" w:space="0" w:color="00000A"/>
            </w:tcBorders>
            <w:shd w:val="clear" w:color="auto" w:fill="FFFFFF"/>
            <w:tcMar>
              <w:left w:w="3" w:type="dxa"/>
            </w:tcMar>
          </w:tcPr>
          <w:p w14:paraId="7869C0E1" w14:textId="77777777" w:rsidR="00685E04" w:rsidRDefault="00963ECD">
            <w:r>
              <w:rPr>
                <w:b/>
              </w:rPr>
              <w:t>Production secondaire</w:t>
            </w:r>
            <w:r>
              <w:t xml:space="preserve"> : </w:t>
            </w:r>
          </w:p>
          <w:p w14:paraId="0C19740C" w14:textId="77777777" w:rsidR="00685E04" w:rsidRDefault="00963ECD">
            <w:r>
              <w:t>La fabrication d’Abondance est une production annexe de l’atelier concerné par l’habilitation.</w:t>
            </w:r>
          </w:p>
        </w:tc>
        <w:tc>
          <w:tcPr>
            <w:tcW w:w="2053" w:type="dxa"/>
            <w:tcBorders>
              <w:top w:val="single" w:sz="4" w:space="0" w:color="00000A"/>
              <w:left w:val="single" w:sz="4" w:space="0" w:color="00000A"/>
              <w:bottom w:val="single" w:sz="4" w:space="0" w:color="00000A"/>
            </w:tcBorders>
            <w:shd w:val="clear" w:color="auto" w:fill="FFFFFF"/>
            <w:tcMar>
              <w:left w:w="3" w:type="dxa"/>
            </w:tcMar>
            <w:vAlign w:val="center"/>
          </w:tcPr>
          <w:p w14:paraId="4785B106" w14:textId="77777777" w:rsidR="00685E04" w:rsidRDefault="00963ECD">
            <w:pPr>
              <w:jc w:val="center"/>
            </w:pPr>
            <w:r>
              <w:t>20 T</w:t>
            </w:r>
          </w:p>
        </w:tc>
        <w:tc>
          <w:tcPr>
            <w:tcW w:w="2072"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6EE503A6" w14:textId="77777777" w:rsidR="00685E04" w:rsidRDefault="00963ECD">
            <w:pPr>
              <w:jc w:val="center"/>
            </w:pPr>
            <w:r>
              <w:t>2 T</w:t>
            </w:r>
          </w:p>
        </w:tc>
      </w:tr>
    </w:tbl>
    <w:p w14:paraId="79A1C28A" w14:textId="77777777" w:rsidR="00685E04" w:rsidRDefault="00963ECD">
      <w:pPr>
        <w:pStyle w:val="Titre2"/>
        <w:numPr>
          <w:ilvl w:val="1"/>
          <w:numId w:val="1"/>
        </w:numPr>
      </w:pPr>
      <w:bookmarkStart w:id="98" w:name="_Toc383267590"/>
      <w:bookmarkStart w:id="99" w:name="_Toc351042988"/>
      <w:bookmarkStart w:id="100" w:name="_Toc348965881"/>
      <w:bookmarkStart w:id="101" w:name="_Toc536180055"/>
      <w:bookmarkEnd w:id="98"/>
      <w:bookmarkEnd w:id="99"/>
      <w:bookmarkEnd w:id="100"/>
      <w:r>
        <w:t>2.2 Ouverture pour les opérateurs déjà en place</w:t>
      </w:r>
      <w:bookmarkEnd w:id="101"/>
    </w:p>
    <w:p w14:paraId="4DB11B39" w14:textId="77777777" w:rsidR="00685E04" w:rsidRDefault="00685E04">
      <w:pPr>
        <w:jc w:val="both"/>
      </w:pPr>
    </w:p>
    <w:p w14:paraId="1E6E338C" w14:textId="77777777" w:rsidR="00685E04" w:rsidRDefault="00963ECD">
      <w:pPr>
        <w:jc w:val="both"/>
      </w:pPr>
      <w:r>
        <w:rPr>
          <w:b/>
        </w:rPr>
        <w:t>Pour les ateliers laitiers</w:t>
      </w:r>
    </w:p>
    <w:p w14:paraId="04BC5389" w14:textId="77777777" w:rsidR="00685E04" w:rsidRDefault="00685E04">
      <w:pPr>
        <w:jc w:val="both"/>
      </w:pPr>
    </w:p>
    <w:tbl>
      <w:tblPr>
        <w:tblW w:w="9291" w:type="dxa"/>
        <w:tblInd w:w="-110" w:type="dxa"/>
        <w:tblBorders>
          <w:top w:val="single" w:sz="4" w:space="0" w:color="00000A"/>
          <w:left w:val="single" w:sz="4" w:space="0" w:color="00000A"/>
          <w:bottom w:val="single" w:sz="4" w:space="0" w:color="00000A"/>
          <w:insideH w:val="single" w:sz="4" w:space="0" w:color="00000A"/>
        </w:tblBorders>
        <w:tblCellMar>
          <w:left w:w="3" w:type="dxa"/>
        </w:tblCellMar>
        <w:tblLook w:val="0000" w:firstRow="0" w:lastRow="0" w:firstColumn="0" w:lastColumn="0" w:noHBand="0" w:noVBand="0"/>
      </w:tblPr>
      <w:tblGrid>
        <w:gridCol w:w="6282"/>
        <w:gridCol w:w="3009"/>
      </w:tblGrid>
      <w:tr w:rsidR="00685E04" w14:paraId="2689B7FF" w14:textId="77777777">
        <w:trPr>
          <w:trHeight w:val="570"/>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47DD61CC" w14:textId="77777777" w:rsidR="00685E04" w:rsidRDefault="00963ECD">
            <w:pPr>
              <w:rPr>
                <w:b/>
                <w:bCs/>
              </w:rPr>
            </w:pPr>
            <w:r w:rsidRPr="00E544E9">
              <w:rPr>
                <w:b/>
                <w:bCs/>
              </w:rPr>
              <w:t>Catégories</w:t>
            </w:r>
          </w:p>
        </w:tc>
        <w:tc>
          <w:tcPr>
            <w:tcW w:w="3009"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12FD9D56" w14:textId="77777777" w:rsidR="00685E04" w:rsidRDefault="00963ECD">
            <w:pPr>
              <w:jc w:val="center"/>
              <w:rPr>
                <w:b/>
                <w:bCs/>
              </w:rPr>
            </w:pPr>
            <w:r w:rsidRPr="00E544E9">
              <w:rPr>
                <w:b/>
                <w:bCs/>
              </w:rPr>
              <w:t xml:space="preserve">Ouverture par catégorie </w:t>
            </w:r>
          </w:p>
        </w:tc>
      </w:tr>
      <w:tr w:rsidR="00685E04" w14:paraId="048CA00A" w14:textId="77777777">
        <w:trPr>
          <w:cantSplit/>
          <w:trHeight w:val="537"/>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0C647D9E" w14:textId="77777777" w:rsidR="00685E04" w:rsidRDefault="00963ECD">
            <w:r>
              <w:t>Habilitation de nouveaux producteurs</w:t>
            </w:r>
          </w:p>
        </w:tc>
        <w:tc>
          <w:tcPr>
            <w:tcW w:w="30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0633D0EC" w14:textId="77777777" w:rsidR="00685E04" w:rsidRDefault="00685E04">
            <w:pPr>
              <w:snapToGrid w:val="0"/>
              <w:jc w:val="center"/>
            </w:pPr>
          </w:p>
          <w:p w14:paraId="0CE29BE5" w14:textId="77777777" w:rsidR="00685E04" w:rsidRDefault="00963ECD">
            <w:pPr>
              <w:jc w:val="center"/>
            </w:pPr>
            <w:r>
              <w:t>50 T soit 5 000 meules</w:t>
            </w:r>
          </w:p>
          <w:p w14:paraId="6C834F78" w14:textId="77777777" w:rsidR="00685E04" w:rsidRDefault="00685E04">
            <w:pPr>
              <w:jc w:val="center"/>
            </w:pPr>
          </w:p>
        </w:tc>
      </w:tr>
      <w:tr w:rsidR="00685E04" w14:paraId="4A73216C" w14:textId="77777777">
        <w:trPr>
          <w:cantSplit/>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21E45369" w14:textId="77777777" w:rsidR="00685E04" w:rsidRDefault="00963ECD">
            <w:r>
              <w:t xml:space="preserve">Installation de jeunes agriculteurs dans des exploitations déjà habilitées </w:t>
            </w:r>
          </w:p>
        </w:tc>
        <w:tc>
          <w:tcPr>
            <w:tcW w:w="3009" w:type="dxa"/>
            <w:vMerge/>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4F60AA53" w14:textId="77777777" w:rsidR="00685E04" w:rsidRDefault="00685E04">
            <w:pPr>
              <w:snapToGrid w:val="0"/>
              <w:jc w:val="center"/>
            </w:pPr>
          </w:p>
        </w:tc>
      </w:tr>
      <w:tr w:rsidR="00685E04" w14:paraId="2566818E" w14:textId="77777777">
        <w:trPr>
          <w:cantSplit/>
          <w:trHeight w:val="326"/>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3DD5FBF5" w14:textId="77777777" w:rsidR="00685E04" w:rsidRDefault="00963ECD">
            <w:r>
              <w:t>Modernisation de l’exploitation agricole</w:t>
            </w:r>
          </w:p>
        </w:tc>
        <w:tc>
          <w:tcPr>
            <w:tcW w:w="3009" w:type="dxa"/>
            <w:vMerge/>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552FCA08" w14:textId="77777777" w:rsidR="00685E04" w:rsidRDefault="00685E04">
            <w:pPr>
              <w:snapToGrid w:val="0"/>
              <w:jc w:val="center"/>
            </w:pPr>
          </w:p>
        </w:tc>
      </w:tr>
      <w:tr w:rsidR="00685E04" w14:paraId="0EF2403A" w14:textId="77777777">
        <w:trPr>
          <w:cantSplit/>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6884E698" w14:textId="77777777" w:rsidR="00685E04" w:rsidRDefault="00963ECD">
            <w:r>
              <w:t>Amélioration du potentiel de production de l’Abondance pour les producteurs déjà en place</w:t>
            </w:r>
          </w:p>
        </w:tc>
        <w:tc>
          <w:tcPr>
            <w:tcW w:w="3009" w:type="dxa"/>
            <w:vMerge/>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4D8F5665" w14:textId="77777777" w:rsidR="00685E04" w:rsidRDefault="00685E04">
            <w:pPr>
              <w:snapToGrid w:val="0"/>
              <w:jc w:val="center"/>
            </w:pPr>
          </w:p>
        </w:tc>
      </w:tr>
      <w:tr w:rsidR="00685E04" w14:paraId="77626FBD" w14:textId="77777777">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7E96BB3F" w14:textId="77777777" w:rsidR="00685E04" w:rsidRDefault="00963ECD">
            <w:r>
              <w:rPr>
                <w:b/>
              </w:rPr>
              <w:t>Total</w:t>
            </w:r>
          </w:p>
        </w:tc>
        <w:tc>
          <w:tcPr>
            <w:tcW w:w="3009"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779A5958" w14:textId="77777777" w:rsidR="00685E04" w:rsidRDefault="00963ECD">
            <w:pPr>
              <w:jc w:val="center"/>
            </w:pPr>
            <w:r>
              <w:t>50 T soit 5 000 meules</w:t>
            </w:r>
          </w:p>
        </w:tc>
      </w:tr>
    </w:tbl>
    <w:p w14:paraId="16659FB9" w14:textId="77777777" w:rsidR="00685E04" w:rsidRDefault="00685E04">
      <w:pPr>
        <w:jc w:val="both"/>
      </w:pPr>
    </w:p>
    <w:p w14:paraId="53AD2BA3" w14:textId="77777777" w:rsidR="00685E04" w:rsidRDefault="00963ECD">
      <w:pPr>
        <w:jc w:val="both"/>
      </w:pPr>
      <w:r>
        <w:t>Pour les campagnes 2019/2020 et 2020/2021, le volume d’ouverture attribué à chaque atelier laitier intégrera les taux de spécialisation suivants :</w:t>
      </w:r>
    </w:p>
    <w:p w14:paraId="356FE53B" w14:textId="77777777" w:rsidR="00685E04" w:rsidRDefault="00963ECD">
      <w:pPr>
        <w:pStyle w:val="Paragraphedeliste"/>
        <w:numPr>
          <w:ilvl w:val="0"/>
          <w:numId w:val="16"/>
        </w:numPr>
        <w:jc w:val="both"/>
        <w:rPr>
          <w:rFonts w:ascii="Cambria" w:eastAsia="MS Mincho" w:hAnsi="Cambria" w:cs="font41"/>
          <w:sz w:val="24"/>
          <w:szCs w:val="24"/>
        </w:rPr>
      </w:pPr>
      <w:r>
        <w:rPr>
          <w:rFonts w:ascii="Cambria" w:eastAsia="MS Mincho" w:hAnsi="Cambria" w:cs="font41"/>
          <w:sz w:val="24"/>
          <w:szCs w:val="24"/>
        </w:rPr>
        <w:t>DI Abondance simple ;</w:t>
      </w:r>
    </w:p>
    <w:p w14:paraId="20B9DA2F" w14:textId="77777777" w:rsidR="00685E04" w:rsidRDefault="00963ECD">
      <w:pPr>
        <w:pStyle w:val="Paragraphedeliste"/>
        <w:numPr>
          <w:ilvl w:val="0"/>
          <w:numId w:val="16"/>
        </w:numPr>
        <w:jc w:val="both"/>
        <w:rPr>
          <w:rFonts w:ascii="Cambria" w:eastAsia="MS Mincho" w:hAnsi="Cambria" w:cs="font41"/>
          <w:sz w:val="24"/>
          <w:szCs w:val="24"/>
        </w:rPr>
      </w:pPr>
      <w:r>
        <w:rPr>
          <w:rFonts w:ascii="Cambria" w:eastAsia="MS Mincho" w:hAnsi="Cambria" w:cs="font41"/>
          <w:sz w:val="24"/>
          <w:szCs w:val="24"/>
        </w:rPr>
        <w:t>DI Abondance/Reblochon ;</w:t>
      </w:r>
    </w:p>
    <w:p w14:paraId="14F3F712" w14:textId="77777777" w:rsidR="00685E04" w:rsidRDefault="00963ECD">
      <w:pPr>
        <w:pStyle w:val="Paragraphedeliste"/>
        <w:numPr>
          <w:ilvl w:val="0"/>
          <w:numId w:val="16"/>
        </w:numPr>
        <w:jc w:val="both"/>
        <w:rPr>
          <w:rFonts w:ascii="Cambria" w:eastAsia="MS Mincho" w:hAnsi="Cambria" w:cs="font41"/>
          <w:sz w:val="24"/>
          <w:szCs w:val="24"/>
        </w:rPr>
      </w:pPr>
      <w:r>
        <w:rPr>
          <w:rFonts w:ascii="Cambria" w:eastAsia="MS Mincho" w:hAnsi="Cambria" w:cs="font41"/>
          <w:sz w:val="24"/>
          <w:szCs w:val="24"/>
        </w:rPr>
        <w:t>DI Abondance/Reblochon/Tomme de Savoie/Emmental de Savoie/Raclette de Savoie ;</w:t>
      </w:r>
    </w:p>
    <w:p w14:paraId="6E5A37A4" w14:textId="77777777" w:rsidR="00685E04" w:rsidRDefault="00963ECD">
      <w:pPr>
        <w:pStyle w:val="Paragraphedeliste"/>
        <w:numPr>
          <w:ilvl w:val="0"/>
          <w:numId w:val="16"/>
        </w:numPr>
        <w:jc w:val="both"/>
        <w:rPr>
          <w:rFonts w:ascii="Cambria" w:eastAsia="MS Mincho" w:hAnsi="Cambria" w:cs="font41"/>
          <w:sz w:val="24"/>
          <w:szCs w:val="24"/>
        </w:rPr>
      </w:pPr>
      <w:r>
        <w:rPr>
          <w:rFonts w:ascii="Cambria" w:eastAsia="MS Mincho" w:hAnsi="Cambria" w:cs="font41"/>
          <w:sz w:val="24"/>
          <w:szCs w:val="24"/>
        </w:rPr>
        <w:t>DI Abondance/Tomme de Savoie/Emmental de Savoie/Raclette de Savoie.</w:t>
      </w:r>
    </w:p>
    <w:p w14:paraId="16158112" w14:textId="77777777" w:rsidR="00685E04" w:rsidRDefault="00685E04">
      <w:pPr>
        <w:widowControl w:val="0"/>
        <w:spacing w:after="240"/>
        <w:jc w:val="both"/>
      </w:pPr>
    </w:p>
    <w:p w14:paraId="520557FE" w14:textId="77777777" w:rsidR="00685E04" w:rsidRDefault="00963ECD">
      <w:pPr>
        <w:jc w:val="both"/>
      </w:pPr>
      <w:r>
        <w:rPr>
          <w:b/>
        </w:rPr>
        <w:t>Pour les ateliers fermiers</w:t>
      </w:r>
    </w:p>
    <w:p w14:paraId="320D9DEA" w14:textId="77777777" w:rsidR="00685E04" w:rsidRDefault="00685E04">
      <w:pPr>
        <w:jc w:val="both"/>
      </w:pPr>
    </w:p>
    <w:tbl>
      <w:tblPr>
        <w:tblW w:w="9291" w:type="dxa"/>
        <w:tblInd w:w="-110" w:type="dxa"/>
        <w:tblBorders>
          <w:top w:val="single" w:sz="4" w:space="0" w:color="00000A"/>
          <w:left w:val="single" w:sz="4" w:space="0" w:color="00000A"/>
          <w:bottom w:val="single" w:sz="4" w:space="0" w:color="00000A"/>
          <w:insideH w:val="single" w:sz="4" w:space="0" w:color="00000A"/>
        </w:tblBorders>
        <w:tblCellMar>
          <w:left w:w="3" w:type="dxa"/>
        </w:tblCellMar>
        <w:tblLook w:val="0000" w:firstRow="0" w:lastRow="0" w:firstColumn="0" w:lastColumn="0" w:noHBand="0" w:noVBand="0"/>
      </w:tblPr>
      <w:tblGrid>
        <w:gridCol w:w="6282"/>
        <w:gridCol w:w="3009"/>
      </w:tblGrid>
      <w:tr w:rsidR="00685E04" w14:paraId="37023048" w14:textId="77777777">
        <w:trPr>
          <w:trHeight w:val="570"/>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4F6FF066" w14:textId="77777777" w:rsidR="00685E04" w:rsidRDefault="00963ECD">
            <w:pPr>
              <w:rPr>
                <w:b/>
                <w:bCs/>
              </w:rPr>
            </w:pPr>
            <w:r w:rsidRPr="00E544E9">
              <w:rPr>
                <w:b/>
                <w:bCs/>
              </w:rPr>
              <w:t>Catégories</w:t>
            </w:r>
          </w:p>
        </w:tc>
        <w:tc>
          <w:tcPr>
            <w:tcW w:w="3009"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14666375" w14:textId="77777777" w:rsidR="00685E04" w:rsidRDefault="00963ECD">
            <w:pPr>
              <w:jc w:val="center"/>
              <w:rPr>
                <w:b/>
                <w:bCs/>
              </w:rPr>
            </w:pPr>
            <w:r w:rsidRPr="00E544E9">
              <w:rPr>
                <w:b/>
                <w:bCs/>
              </w:rPr>
              <w:t xml:space="preserve">Ouverture par catégorie </w:t>
            </w:r>
          </w:p>
        </w:tc>
      </w:tr>
      <w:tr w:rsidR="00685E04" w14:paraId="1B0E12D2" w14:textId="77777777">
        <w:trPr>
          <w:cantSplit/>
          <w:trHeight w:val="709"/>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6A031D82" w14:textId="77777777" w:rsidR="00685E04" w:rsidRDefault="00963ECD">
            <w:r>
              <w:t>Habilitation de nouveaux ateliers</w:t>
            </w:r>
          </w:p>
        </w:tc>
        <w:tc>
          <w:tcPr>
            <w:tcW w:w="30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148FFEE3" w14:textId="77777777" w:rsidR="00685E04" w:rsidRDefault="00963ECD">
            <w:pPr>
              <w:jc w:val="center"/>
            </w:pPr>
            <w:r>
              <w:t>X</w:t>
            </w:r>
          </w:p>
          <w:p w14:paraId="73320B33" w14:textId="77777777" w:rsidR="00685E04" w:rsidRDefault="00685E04">
            <w:pPr>
              <w:jc w:val="center"/>
            </w:pPr>
          </w:p>
          <w:p w14:paraId="61E4A155" w14:textId="77777777" w:rsidR="00685E04" w:rsidRDefault="00685E04">
            <w:pPr>
              <w:jc w:val="center"/>
            </w:pPr>
          </w:p>
        </w:tc>
      </w:tr>
      <w:tr w:rsidR="00685E04" w14:paraId="15EF9BC3" w14:textId="77777777">
        <w:trPr>
          <w:cantSplit/>
          <w:trHeight w:val="709"/>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05F4CD12" w14:textId="77777777" w:rsidR="00685E04" w:rsidRDefault="00963ECD">
            <w:r>
              <w:t>Installation de jeunes agriculteurs dans des exploitations déjà habilitées</w:t>
            </w:r>
          </w:p>
        </w:tc>
        <w:tc>
          <w:tcPr>
            <w:tcW w:w="3009" w:type="dxa"/>
            <w:vMerge/>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1B6BE9A8" w14:textId="77777777" w:rsidR="00685E04" w:rsidRDefault="00685E04">
            <w:pPr>
              <w:snapToGrid w:val="0"/>
            </w:pPr>
          </w:p>
        </w:tc>
      </w:tr>
      <w:tr w:rsidR="00685E04" w14:paraId="59D7735C" w14:textId="77777777">
        <w:trPr>
          <w:cantSplit/>
          <w:trHeight w:val="326"/>
        </w:trPr>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2437577E" w14:textId="77777777" w:rsidR="00685E04" w:rsidRDefault="00963ECD">
            <w:r>
              <w:lastRenderedPageBreak/>
              <w:t>Modernisation de l’exploitation agricole</w:t>
            </w:r>
          </w:p>
        </w:tc>
        <w:tc>
          <w:tcPr>
            <w:tcW w:w="3009" w:type="dxa"/>
            <w:vMerge/>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7A243378" w14:textId="77777777" w:rsidR="00685E04" w:rsidRDefault="00685E04">
            <w:pPr>
              <w:snapToGrid w:val="0"/>
            </w:pPr>
          </w:p>
        </w:tc>
      </w:tr>
      <w:tr w:rsidR="00685E04" w14:paraId="3C452D6F" w14:textId="77777777">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3971787F" w14:textId="77777777" w:rsidR="00685E04" w:rsidRDefault="00963ECD">
            <w:r>
              <w:t>Amélioration du potentiel de production de l’Abondance pour les producteurs déjà en place</w:t>
            </w:r>
          </w:p>
        </w:tc>
        <w:tc>
          <w:tcPr>
            <w:tcW w:w="3009"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51288570" w14:textId="77777777" w:rsidR="00685E04" w:rsidRDefault="00963ECD">
            <w:pPr>
              <w:jc w:val="center"/>
            </w:pPr>
            <w:r>
              <w:t>20,5 – X si X &lt; 20,5</w:t>
            </w:r>
          </w:p>
          <w:p w14:paraId="1A9409B5" w14:textId="77777777" w:rsidR="00685E04" w:rsidRDefault="00963ECD">
            <w:pPr>
              <w:jc w:val="center"/>
            </w:pPr>
            <w:r>
              <w:t>0 sinon</w:t>
            </w:r>
          </w:p>
        </w:tc>
      </w:tr>
      <w:tr w:rsidR="00685E04" w14:paraId="60727622" w14:textId="77777777">
        <w:tc>
          <w:tcPr>
            <w:tcW w:w="6281" w:type="dxa"/>
            <w:tcBorders>
              <w:top w:val="single" w:sz="4" w:space="0" w:color="00000A"/>
              <w:left w:val="single" w:sz="4" w:space="0" w:color="00000A"/>
              <w:bottom w:val="single" w:sz="4" w:space="0" w:color="00000A"/>
            </w:tcBorders>
            <w:shd w:val="clear" w:color="auto" w:fill="FFFFFF"/>
            <w:tcMar>
              <w:left w:w="3" w:type="dxa"/>
            </w:tcMar>
            <w:vAlign w:val="center"/>
          </w:tcPr>
          <w:p w14:paraId="44ECDC82" w14:textId="77777777" w:rsidR="00685E04" w:rsidRDefault="00963ECD">
            <w:r>
              <w:rPr>
                <w:b/>
              </w:rPr>
              <w:t>Total</w:t>
            </w:r>
          </w:p>
        </w:tc>
        <w:tc>
          <w:tcPr>
            <w:tcW w:w="3009" w:type="dxa"/>
            <w:tcBorders>
              <w:top w:val="single" w:sz="4" w:space="0" w:color="00000A"/>
              <w:left w:val="single" w:sz="4" w:space="0" w:color="00000A"/>
              <w:bottom w:val="single" w:sz="4" w:space="0" w:color="00000A"/>
              <w:right w:val="single" w:sz="4" w:space="0" w:color="00000A"/>
            </w:tcBorders>
            <w:shd w:val="clear" w:color="auto" w:fill="FFFFFF"/>
            <w:tcMar>
              <w:left w:w="3" w:type="dxa"/>
            </w:tcMar>
            <w:vAlign w:val="center"/>
          </w:tcPr>
          <w:p w14:paraId="4DD43141" w14:textId="77777777" w:rsidR="00685E04" w:rsidRDefault="00963ECD">
            <w:pPr>
              <w:jc w:val="center"/>
            </w:pPr>
            <w:r>
              <w:t>20,5 T soit 2 278 meules</w:t>
            </w:r>
          </w:p>
        </w:tc>
      </w:tr>
    </w:tbl>
    <w:p w14:paraId="222AE94B" w14:textId="77777777" w:rsidR="00685E04" w:rsidRDefault="00685E04">
      <w:pPr>
        <w:jc w:val="both"/>
      </w:pPr>
    </w:p>
    <w:p w14:paraId="6344AE26" w14:textId="77777777" w:rsidR="00685E04" w:rsidRDefault="00963ECD">
      <w:pPr>
        <w:jc w:val="both"/>
      </w:pPr>
      <w:r>
        <w:t>Pour les campagnes 2019/2020 et 2020/2021, le volume d’ouverture attribué à chaque atelier fermier intégrera les taux de spécialisation déclarés par l’atelier fermier.</w:t>
      </w:r>
    </w:p>
    <w:p w14:paraId="5CD9C1B8" w14:textId="77777777" w:rsidR="00685E04" w:rsidRDefault="00685E04">
      <w:pPr>
        <w:jc w:val="both"/>
        <w:rPr>
          <w:color w:val="FF0000"/>
          <w:shd w:val="clear" w:color="auto" w:fill="FFFF00"/>
        </w:rPr>
      </w:pPr>
    </w:p>
    <w:p w14:paraId="7BBD5C79" w14:textId="77777777" w:rsidR="00685E04" w:rsidRDefault="00963ECD">
      <w:pPr>
        <w:pStyle w:val="Titre1"/>
        <w:numPr>
          <w:ilvl w:val="0"/>
          <w:numId w:val="6"/>
        </w:numPr>
        <w:jc w:val="both"/>
      </w:pPr>
      <w:bookmarkStart w:id="102" w:name="_Toc536180056"/>
      <w:bookmarkStart w:id="103" w:name="_Toc536180057"/>
      <w:bookmarkStart w:id="104" w:name="_Toc383267592"/>
      <w:bookmarkStart w:id="105" w:name="_Toc351042990"/>
      <w:bookmarkStart w:id="106" w:name="__DdeLink__8627_828566529"/>
      <w:bookmarkStart w:id="107" w:name="_Toc348965883"/>
      <w:bookmarkStart w:id="108" w:name="_Toc536180058"/>
      <w:bookmarkStart w:id="109" w:name="_Toc536180059"/>
      <w:bookmarkStart w:id="110" w:name="_Toc536180060"/>
      <w:bookmarkStart w:id="111" w:name="_Toc536180061"/>
      <w:bookmarkStart w:id="112" w:name="_Toc536180062"/>
      <w:bookmarkStart w:id="113" w:name="_Toc536180063"/>
      <w:bookmarkStart w:id="114" w:name="_Toc536180064"/>
      <w:bookmarkStart w:id="115" w:name="_Toc535846979"/>
      <w:bookmarkStart w:id="116" w:name="_Toc536180065"/>
      <w:bookmarkStart w:id="117" w:name="_Toc535846980"/>
      <w:bookmarkStart w:id="118" w:name="_Toc536180066"/>
      <w:bookmarkStart w:id="119" w:name="_Toc535846981"/>
      <w:bookmarkStart w:id="120" w:name="_Toc536180067"/>
      <w:bookmarkStart w:id="121" w:name="_Toc383267594"/>
      <w:bookmarkStart w:id="122" w:name="_Toc351042992"/>
      <w:bookmarkStart w:id="123" w:name="_Toc348965885"/>
      <w:bookmarkStart w:id="124" w:name="_Toc536180068"/>
      <w:bookmarkStart w:id="125" w:name="_Toc536180069"/>
      <w:bookmarkStart w:id="126" w:name="_Toc536180070"/>
      <w:bookmarkStart w:id="127" w:name="_Toc383267595"/>
      <w:bookmarkStart w:id="128" w:name="_Toc351042993"/>
      <w:bookmarkStart w:id="129" w:name="_Toc348965886"/>
      <w:bookmarkStart w:id="130" w:name="_Toc536180071"/>
      <w:bookmarkStart w:id="131" w:name="_GoBack"/>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1"/>
      <w:r>
        <w:t>Montant des sur-cotisations</w:t>
      </w:r>
      <w:bookmarkEnd w:id="130"/>
    </w:p>
    <w:p w14:paraId="2A918625" w14:textId="77777777" w:rsidR="00685E04" w:rsidRDefault="00685E04">
      <w:pPr>
        <w:jc w:val="both"/>
        <w:rPr>
          <w:color w:val="FF6600"/>
        </w:rPr>
      </w:pPr>
    </w:p>
    <w:p w14:paraId="2BD3FA68" w14:textId="77777777" w:rsidR="00685E04" w:rsidRDefault="00963ECD">
      <w:pPr>
        <w:jc w:val="both"/>
      </w:pPr>
      <w:r>
        <w:t>Pour l'année 2018, le prix de la plaque laitière de caséine a été fixé à 110,1 €/t et le prix de la plaque fermière a été fixé à 113,4 €/t lors de la dernière Assemblée générale du SIFA en date du 10 mars 2017. Ces chiffres sont constants par rapport à 2016 et 2017.</w:t>
      </w:r>
    </w:p>
    <w:p w14:paraId="7E3A2DC3" w14:textId="77777777" w:rsidR="00685E04" w:rsidRDefault="00963ECD">
      <w:pPr>
        <w:pStyle w:val="Titre2"/>
        <w:numPr>
          <w:ilvl w:val="1"/>
          <w:numId w:val="6"/>
        </w:numPr>
        <w:rPr>
          <w:shd w:val="clear" w:color="auto" w:fill="FFFFFF"/>
        </w:rPr>
      </w:pPr>
      <w:bookmarkStart w:id="132" w:name="_Toc383267596"/>
      <w:bookmarkStart w:id="133" w:name="_Toc351042994"/>
      <w:bookmarkStart w:id="134" w:name="_Toc348965887"/>
      <w:bookmarkStart w:id="135" w:name="_Toc536180072"/>
      <w:bookmarkEnd w:id="132"/>
      <w:bookmarkEnd w:id="133"/>
      <w:bookmarkEnd w:id="134"/>
      <w:r>
        <w:t>Sur-cotisations pour les ateliers existants</w:t>
      </w:r>
      <w:bookmarkEnd w:id="135"/>
    </w:p>
    <w:p w14:paraId="18FA84B5" w14:textId="77777777" w:rsidR="00685E04" w:rsidRDefault="00685E04">
      <w:pPr>
        <w:rPr>
          <w:shd w:val="clear" w:color="auto" w:fill="FFFFFF"/>
        </w:rPr>
      </w:pPr>
    </w:p>
    <w:p w14:paraId="5DC1D8C3" w14:textId="605618BE" w:rsidR="00685E04" w:rsidRDefault="00963ECD">
      <w:pPr>
        <w:ind w:right="360"/>
        <w:jc w:val="both"/>
      </w:pPr>
      <w:r>
        <w:rPr>
          <w:color w:val="000000"/>
        </w:rPr>
        <w:t>La sur-cotisation correspond à l'équivalent de 20 plaques de caséine. Elle s'élève à 2 202 €/t pour les meules d’Abondance laitier fabriquées au-delà de la référence et de 2 267 €/t pour les meules d’Abondance fermier fabriquées au-delà de la référence. Cela correspond à 30 % du prix départ-cave pour un atelier laitier, 24 % du prix demi-gros départ-cave et 30 % du prix grossiste départ-cave pour un atelier fermier, ainsi qu’environ 14 % du prix de vente consommateur TTC en GMS.</w:t>
      </w:r>
    </w:p>
    <w:p w14:paraId="70A595D7" w14:textId="77777777" w:rsidR="00685E04" w:rsidRDefault="00963ECD">
      <w:pPr>
        <w:pStyle w:val="Titre2"/>
        <w:numPr>
          <w:ilvl w:val="1"/>
          <w:numId w:val="6"/>
        </w:numPr>
      </w:pPr>
      <w:bookmarkStart w:id="136" w:name="_Toc351042995"/>
      <w:bookmarkStart w:id="137" w:name="_Toc383267597"/>
      <w:bookmarkStart w:id="138" w:name="_Toc348965888"/>
      <w:bookmarkStart w:id="139" w:name="_Toc536180073"/>
      <w:bookmarkEnd w:id="136"/>
      <w:bookmarkEnd w:id="137"/>
      <w:bookmarkEnd w:id="138"/>
      <w:r>
        <w:t>Sur-cotisations pour les nouveaux ateliers</w:t>
      </w:r>
      <w:bookmarkEnd w:id="139"/>
    </w:p>
    <w:p w14:paraId="1B72539E" w14:textId="77777777" w:rsidR="00685E04" w:rsidRDefault="00685E04"/>
    <w:p w14:paraId="0BFE8747" w14:textId="77777777" w:rsidR="00685E04" w:rsidRDefault="00963ECD">
      <w:r>
        <w:rPr>
          <w:noProof/>
        </w:rPr>
        <mc:AlternateContent>
          <mc:Choice Requires="wps">
            <w:drawing>
              <wp:anchor distT="0" distB="0" distL="114300" distR="114300" simplePos="0" relativeHeight="39" behindDoc="0" locked="0" layoutInCell="1" allowOverlap="1" wp14:anchorId="24C5362F" wp14:editId="3CBC78CC">
                <wp:simplePos x="0" y="0"/>
                <wp:positionH relativeFrom="page">
                  <wp:posOffset>834390</wp:posOffset>
                </wp:positionH>
                <wp:positionV relativeFrom="paragraph">
                  <wp:posOffset>264160</wp:posOffset>
                </wp:positionV>
                <wp:extent cx="6202680" cy="2168525"/>
                <wp:effectExtent l="0" t="0" r="1905" b="0"/>
                <wp:wrapSquare wrapText="bothSides"/>
                <wp:docPr id="5" name="Cadre1"/>
                <wp:cNvGraphicFramePr/>
                <a:graphic xmlns:a="http://schemas.openxmlformats.org/drawingml/2006/main">
                  <a:graphicData uri="http://schemas.microsoft.com/office/word/2010/wordprocessingShape">
                    <wps:wsp>
                      <wps:cNvSpPr/>
                      <wps:spPr>
                        <a:xfrm>
                          <a:off x="0" y="0"/>
                          <a:ext cx="6202080" cy="21679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Cadre1" stroked="f" style="position:absolute;margin-left:65.7pt;margin-top:20.8pt;width:488.3pt;height:170.65pt;mso-position-horizontal-relative:page" wp14:anchorId="1547A313">
                <w10:wrap type="none"/>
                <v:fill on="false" o:detectmouseclick="t"/>
                <v:stroke color="#3465a4" joinstyle="round" endcap="flat"/>
              </v:rect>
            </w:pict>
          </mc:Fallback>
        </mc:AlternateContent>
      </w:r>
      <w:r>
        <w:rPr>
          <w:noProof/>
        </w:rPr>
        <mc:AlternateContent>
          <mc:Choice Requires="wps">
            <w:drawing>
              <wp:anchor distT="72390" distB="72390" distL="72390" distR="72390" simplePos="0" relativeHeight="59" behindDoc="0" locked="0" layoutInCell="1" allowOverlap="1" wp14:anchorId="25730E24" wp14:editId="49F2415C">
                <wp:simplePos x="0" y="0"/>
                <wp:positionH relativeFrom="page">
                  <wp:posOffset>834390</wp:posOffset>
                </wp:positionH>
                <wp:positionV relativeFrom="paragraph">
                  <wp:posOffset>264160</wp:posOffset>
                </wp:positionV>
                <wp:extent cx="6202045" cy="2168525"/>
                <wp:effectExtent l="0" t="0" r="2540" b="0"/>
                <wp:wrapNone/>
                <wp:docPr id="6" name="Text Box 6"/>
                <wp:cNvGraphicFramePr/>
                <a:graphic xmlns:a="http://schemas.openxmlformats.org/drawingml/2006/main">
                  <a:graphicData uri="http://schemas.microsoft.com/office/word/2010/wordprocessingShape">
                    <wps:wsp>
                      <wps:cNvSpPr/>
                      <wps:spPr>
                        <a:xfrm>
                          <a:off x="0" y="0"/>
                          <a:ext cx="6201360" cy="21679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tbl>
                            <w:tblPr>
                              <w:tblW w:w="9757" w:type="dxa"/>
                              <w:tblInd w:w="-3" w:type="dxa"/>
                              <w:tblBorders>
                                <w:top w:val="single" w:sz="4" w:space="0" w:color="00000A"/>
                                <w:left w:val="single" w:sz="4" w:space="0" w:color="00000A"/>
                                <w:bottom w:val="single" w:sz="4" w:space="0" w:color="00000A"/>
                                <w:insideH w:val="single" w:sz="4" w:space="0" w:color="00000A"/>
                              </w:tblBorders>
                              <w:tblCellMar>
                                <w:left w:w="-2" w:type="dxa"/>
                              </w:tblCellMar>
                              <w:tblLook w:val="0000" w:firstRow="0" w:lastRow="0" w:firstColumn="0" w:lastColumn="0" w:noHBand="0" w:noVBand="0"/>
                            </w:tblPr>
                            <w:tblGrid>
                              <w:gridCol w:w="2653"/>
                              <w:gridCol w:w="3544"/>
                              <w:gridCol w:w="3560"/>
                            </w:tblGrid>
                            <w:tr w:rsidR="00337C43" w14:paraId="78281B62" w14:textId="77777777">
                              <w:tc>
                                <w:tcPr>
                                  <w:tcW w:w="2653" w:type="dxa"/>
                                  <w:tcBorders>
                                    <w:top w:val="single" w:sz="4" w:space="0" w:color="00000A"/>
                                    <w:left w:val="single" w:sz="4" w:space="0" w:color="00000A"/>
                                    <w:bottom w:val="single" w:sz="4" w:space="0" w:color="00000A"/>
                                  </w:tcBorders>
                                  <w:shd w:val="clear" w:color="auto" w:fill="FFFFFF"/>
                                  <w:tcMar>
                                    <w:left w:w="-2" w:type="dxa"/>
                                  </w:tcMar>
                                </w:tcPr>
                                <w:p w14:paraId="4C96B336" w14:textId="77777777" w:rsidR="00337C43" w:rsidRDefault="00337C43">
                                  <w:pPr>
                                    <w:pStyle w:val="Contenudecadre"/>
                                    <w:snapToGrid w:val="0"/>
                                    <w:ind w:left="142" w:hanging="142"/>
                                  </w:pPr>
                                </w:p>
                              </w:tc>
                              <w:tc>
                                <w:tcPr>
                                  <w:tcW w:w="3544" w:type="dxa"/>
                                  <w:tcBorders>
                                    <w:top w:val="single" w:sz="4" w:space="0" w:color="00000A"/>
                                    <w:left w:val="single" w:sz="4" w:space="0" w:color="00000A"/>
                                    <w:bottom w:val="single" w:sz="4" w:space="0" w:color="00000A"/>
                                  </w:tcBorders>
                                  <w:shd w:val="clear" w:color="auto" w:fill="FFFFFF"/>
                                  <w:tcMar>
                                    <w:left w:w="-2" w:type="dxa"/>
                                  </w:tcMar>
                                </w:tcPr>
                                <w:p w14:paraId="4C65E99F" w14:textId="77777777" w:rsidR="00337C43" w:rsidRDefault="00337C43">
                                  <w:pPr>
                                    <w:pStyle w:val="Contenudecadre"/>
                                    <w:ind w:left="142" w:hanging="142"/>
                                    <w:jc w:val="center"/>
                                    <w:rPr>
                                      <w:b/>
                                    </w:rPr>
                                  </w:pPr>
                                  <w:r>
                                    <w:rPr>
                                      <w:b/>
                                    </w:rPr>
                                    <w:t xml:space="preserve">Si production principale </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14:paraId="7CC04BC7" w14:textId="77777777" w:rsidR="00337C43" w:rsidRDefault="00337C43">
                                  <w:pPr>
                                    <w:pStyle w:val="Contenudecadre"/>
                                    <w:ind w:left="142" w:hanging="142"/>
                                    <w:jc w:val="center"/>
                                  </w:pPr>
                                  <w:r>
                                    <w:rPr>
                                      <w:b/>
                                    </w:rPr>
                                    <w:t>Si production secondaire</w:t>
                                  </w:r>
                                </w:p>
                              </w:tc>
                            </w:tr>
                            <w:tr w:rsidR="00337C43" w14:paraId="094712E1" w14:textId="77777777">
                              <w:tc>
                                <w:tcPr>
                                  <w:tcW w:w="2653" w:type="dxa"/>
                                  <w:tcBorders>
                                    <w:top w:val="single" w:sz="4" w:space="0" w:color="00000A"/>
                                    <w:left w:val="single" w:sz="4" w:space="0" w:color="00000A"/>
                                    <w:bottom w:val="single" w:sz="4" w:space="0" w:color="00000A"/>
                                  </w:tcBorders>
                                  <w:shd w:val="clear" w:color="auto" w:fill="FFFFFF"/>
                                  <w:tcMar>
                                    <w:left w:w="-2" w:type="dxa"/>
                                  </w:tcMar>
                                  <w:vAlign w:val="center"/>
                                </w:tcPr>
                                <w:p w14:paraId="35AF75D0" w14:textId="77777777" w:rsidR="00337C43" w:rsidRDefault="00337C43">
                                  <w:pPr>
                                    <w:pStyle w:val="Contenudecadre"/>
                                    <w:ind w:left="142" w:hanging="142"/>
                                    <w:jc w:val="center"/>
                                  </w:pPr>
                                  <w:r>
                                    <w:rPr>
                                      <w:b/>
                                    </w:rPr>
                                    <w:t>Nouvel atelier Abondance fermier</w:t>
                                  </w:r>
                                </w:p>
                              </w:tc>
                              <w:tc>
                                <w:tcPr>
                                  <w:tcW w:w="3544" w:type="dxa"/>
                                  <w:tcBorders>
                                    <w:top w:val="single" w:sz="4" w:space="0" w:color="00000A"/>
                                    <w:left w:val="single" w:sz="4" w:space="0" w:color="00000A"/>
                                    <w:bottom w:val="single" w:sz="4" w:space="0" w:color="00000A"/>
                                  </w:tcBorders>
                                  <w:shd w:val="clear" w:color="auto" w:fill="FFFFFF"/>
                                  <w:tcMar>
                                    <w:left w:w="-2" w:type="dxa"/>
                                  </w:tcMar>
                                  <w:vAlign w:val="center"/>
                                </w:tcPr>
                                <w:p w14:paraId="2747861B" w14:textId="77777777" w:rsidR="00337C43" w:rsidRDefault="00337C43">
                                  <w:pPr>
                                    <w:pStyle w:val="Contenudecadre"/>
                                    <w:ind w:left="142" w:hanging="142"/>
                                    <w:jc w:val="center"/>
                                  </w:pPr>
                                  <w:r>
                                    <w:t>Sur-cotisation d</w:t>
                                  </w:r>
                                  <w:r>
                                    <w:rPr>
                                      <w:shd w:val="clear" w:color="auto" w:fill="FFFFFF"/>
                                    </w:rPr>
                                    <w:t xml:space="preserve">e </w:t>
                                  </w:r>
                                  <w:r>
                                    <w:t xml:space="preserve">5,1 € (567 €/t) pour </w:t>
                                  </w:r>
                                  <w:r>
                                    <w:rPr>
                                      <w:shd w:val="clear" w:color="auto" w:fill="FFFFFF"/>
                                    </w:rPr>
                                    <w:t>les meules fabriquées entre 6</w:t>
                                  </w:r>
                                  <w:r>
                                    <w:t xml:space="preserve"> et 8 t (+100% du volume) </w:t>
                                  </w:r>
                                </w:p>
                                <w:p w14:paraId="7DF06F9B" w14:textId="77777777" w:rsidR="00337C43" w:rsidRDefault="00337C43">
                                  <w:pPr>
                                    <w:pStyle w:val="Contenudecadre"/>
                                    <w:ind w:left="142" w:hanging="142"/>
                                    <w:jc w:val="center"/>
                                  </w:pPr>
                                  <w:r>
                                    <w:t>et de 20,4 € (2 267 €/t) pour celles dépassant 8 t</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vAlign w:val="center"/>
                                </w:tcPr>
                                <w:p w14:paraId="0BF67730" w14:textId="77777777" w:rsidR="00337C43" w:rsidRDefault="00337C43">
                                  <w:pPr>
                                    <w:pStyle w:val="Contenudecadre"/>
                                    <w:ind w:left="142" w:hanging="142"/>
                                    <w:jc w:val="center"/>
                                  </w:pPr>
                                  <w:r>
                                    <w:t>Sur-cotisation de 5,1 € (567 €/t) pour les meules fabriquées entre 2 et 2,2 t (+10% du volume) et de 20,4 € (2 267 €/t) pour celles dépassant 2,2 t</w:t>
                                  </w:r>
                                </w:p>
                              </w:tc>
                            </w:tr>
                            <w:tr w:rsidR="00337C43" w14:paraId="152EDEEB" w14:textId="77777777">
                              <w:tc>
                                <w:tcPr>
                                  <w:tcW w:w="2653" w:type="dxa"/>
                                  <w:tcBorders>
                                    <w:top w:val="single" w:sz="4" w:space="0" w:color="00000A"/>
                                    <w:left w:val="single" w:sz="4" w:space="0" w:color="00000A"/>
                                    <w:bottom w:val="single" w:sz="4" w:space="0" w:color="00000A"/>
                                  </w:tcBorders>
                                  <w:shd w:val="clear" w:color="auto" w:fill="FFFFFF"/>
                                  <w:tcMar>
                                    <w:left w:w="-2" w:type="dxa"/>
                                  </w:tcMar>
                                  <w:vAlign w:val="center"/>
                                </w:tcPr>
                                <w:p w14:paraId="06ABFC30" w14:textId="77777777" w:rsidR="00337C43" w:rsidRDefault="00337C43">
                                  <w:pPr>
                                    <w:pStyle w:val="Contenudecadre"/>
                                    <w:ind w:left="142" w:hanging="142"/>
                                    <w:jc w:val="center"/>
                                  </w:pPr>
                                  <w:r>
                                    <w:rPr>
                                      <w:b/>
                                    </w:rPr>
                                    <w:t>Nouvel atelier Abondance laitier</w:t>
                                  </w:r>
                                </w:p>
                                <w:p w14:paraId="0EF664A1" w14:textId="77777777" w:rsidR="00337C43" w:rsidRDefault="00337C43">
                                  <w:pPr>
                                    <w:pStyle w:val="Contenudecadre"/>
                                    <w:ind w:left="142" w:hanging="142"/>
                                    <w:jc w:val="center"/>
                                  </w:pPr>
                                </w:p>
                              </w:tc>
                              <w:tc>
                                <w:tcPr>
                                  <w:tcW w:w="3544" w:type="dxa"/>
                                  <w:tcBorders>
                                    <w:top w:val="single" w:sz="4" w:space="0" w:color="00000A"/>
                                    <w:left w:val="single" w:sz="4" w:space="0" w:color="00000A"/>
                                    <w:bottom w:val="single" w:sz="4" w:space="0" w:color="00000A"/>
                                  </w:tcBorders>
                                  <w:shd w:val="clear" w:color="auto" w:fill="FFFFFF"/>
                                  <w:tcMar>
                                    <w:left w:w="-2" w:type="dxa"/>
                                  </w:tcMar>
                                  <w:vAlign w:val="center"/>
                                </w:tcPr>
                                <w:p w14:paraId="1D7F27E4" w14:textId="77777777" w:rsidR="00337C43" w:rsidRDefault="00337C43">
                                  <w:pPr>
                                    <w:pStyle w:val="Contenudecadre"/>
                                    <w:ind w:left="142" w:hanging="142"/>
                                    <w:jc w:val="center"/>
                                  </w:pPr>
                                  <w:r>
                                    <w:t>Sur-cotisation de 5,5 € (550 €/t) pour les meules fabriquées entre 40 et 44 t (+10% du volume) et de 22,0 € (2 202 €/t) pour celles dépassant 44 t</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vAlign w:val="center"/>
                                </w:tcPr>
                                <w:p w14:paraId="322A2088" w14:textId="77777777" w:rsidR="00337C43" w:rsidRDefault="00337C43">
                                  <w:pPr>
                                    <w:pStyle w:val="Contenudecadre"/>
                                    <w:ind w:left="142" w:hanging="142"/>
                                    <w:jc w:val="center"/>
                                  </w:pPr>
                                  <w:r>
                                    <w:t>Sur-cotisation de 5,5 € (550 €/t) pour les meules fabriquées entre 20 et 22 t (+10% du volume) et de 22,0 € (2 202 €/t) pour celles dépassant 22 t</w:t>
                                  </w:r>
                                </w:p>
                              </w:tc>
                            </w:tr>
                          </w:tbl>
                          <w:p w14:paraId="422AAB39" w14:textId="77777777" w:rsidR="00337C43" w:rsidRDefault="00337C43">
                            <w:pPr>
                              <w:pStyle w:val="Contenudecadre"/>
                            </w:pPr>
                          </w:p>
                        </w:txbxContent>
                      </wps:txbx>
                      <wps:bodyPr lIns="0" tIns="0" rIns="0" bIns="0">
                        <a:noAutofit/>
                      </wps:bodyPr>
                    </wps:wsp>
                  </a:graphicData>
                </a:graphic>
              </wp:anchor>
            </w:drawing>
          </mc:Choice>
          <mc:Fallback>
            <w:pict>
              <v:rect w14:anchorId="25730E24" id="Text Box 6" o:spid="_x0000_s1027" style="position:absolute;margin-left:65.7pt;margin-top:20.8pt;width:488.35pt;height:170.75pt;z-index:59;visibility:visible;mso-wrap-style:square;mso-wrap-distance-left:5.7pt;mso-wrap-distance-top:5.7pt;mso-wrap-distance-right:5.7pt;mso-wrap-distance-bottom:5.7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" stroked="f">
                <v:textbox inset="0,0,0,0">
                  <w:txbxContent>
                    <w:tbl>
                      <w:tblPr>
                        <w:tblW w:w="9757" w:type="dxa"/>
                        <w:tblInd w:w="-3" w:type="dxa"/>
                        <w:tblBorders>
                          <w:top w:val="single" w:sz="4" w:space="0" w:color="00000A"/>
                          <w:left w:val="single" w:sz="4" w:space="0" w:color="00000A"/>
                          <w:bottom w:val="single" w:sz="4" w:space="0" w:color="00000A"/>
                          <w:insideH w:val="single" w:sz="4" w:space="0" w:color="00000A"/>
                        </w:tblBorders>
                        <w:tblCellMar>
                          <w:left w:w="-2" w:type="dxa"/>
                        </w:tblCellMar>
                        <w:tblLook w:val="0000" w:firstRow="0" w:lastRow="0" w:firstColumn="0" w:lastColumn="0" w:noHBand="0" w:noVBand="0"/>
                      </w:tblPr>
                      <w:tblGrid>
                        <w:gridCol w:w="2653"/>
                        <w:gridCol w:w="3544"/>
                        <w:gridCol w:w="3560"/>
                      </w:tblGrid>
                      <w:tr w:rsidR="00337C43" w14:paraId="78281B62" w14:textId="77777777">
                        <w:tc>
                          <w:tcPr>
                            <w:tcW w:w="2653" w:type="dxa"/>
                            <w:tcBorders>
                              <w:top w:val="single" w:sz="4" w:space="0" w:color="00000A"/>
                              <w:left w:val="single" w:sz="4" w:space="0" w:color="00000A"/>
                              <w:bottom w:val="single" w:sz="4" w:space="0" w:color="00000A"/>
                            </w:tcBorders>
                            <w:shd w:val="clear" w:color="auto" w:fill="FFFFFF"/>
                            <w:tcMar>
                              <w:left w:w="-2" w:type="dxa"/>
                            </w:tcMar>
                          </w:tcPr>
                          <w:p w14:paraId="4C96B336" w14:textId="77777777" w:rsidR="00337C43" w:rsidRDefault="00337C43">
                            <w:pPr>
                              <w:pStyle w:val="Contenudecadre"/>
                              <w:snapToGrid w:val="0"/>
                              <w:ind w:left="142" w:hanging="142"/>
                            </w:pPr>
                          </w:p>
                        </w:tc>
                        <w:tc>
                          <w:tcPr>
                            <w:tcW w:w="3544" w:type="dxa"/>
                            <w:tcBorders>
                              <w:top w:val="single" w:sz="4" w:space="0" w:color="00000A"/>
                              <w:left w:val="single" w:sz="4" w:space="0" w:color="00000A"/>
                              <w:bottom w:val="single" w:sz="4" w:space="0" w:color="00000A"/>
                            </w:tcBorders>
                            <w:shd w:val="clear" w:color="auto" w:fill="FFFFFF"/>
                            <w:tcMar>
                              <w:left w:w="-2" w:type="dxa"/>
                            </w:tcMar>
                          </w:tcPr>
                          <w:p w14:paraId="4C65E99F" w14:textId="77777777" w:rsidR="00337C43" w:rsidRDefault="00337C43">
                            <w:pPr>
                              <w:pStyle w:val="Contenudecadre"/>
                              <w:ind w:left="142" w:hanging="142"/>
                              <w:jc w:val="center"/>
                              <w:rPr>
                                <w:b/>
                              </w:rPr>
                            </w:pPr>
                            <w:r>
                              <w:rPr>
                                <w:b/>
                              </w:rPr>
                              <w:t xml:space="preserve">Si production principale </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tcPr>
                          <w:p w14:paraId="7CC04BC7" w14:textId="77777777" w:rsidR="00337C43" w:rsidRDefault="00337C43">
                            <w:pPr>
                              <w:pStyle w:val="Contenudecadre"/>
                              <w:ind w:left="142" w:hanging="142"/>
                              <w:jc w:val="center"/>
                            </w:pPr>
                            <w:r>
                              <w:rPr>
                                <w:b/>
                              </w:rPr>
                              <w:t>Si production secondaire</w:t>
                            </w:r>
                          </w:p>
                        </w:tc>
                      </w:tr>
                      <w:tr w:rsidR="00337C43" w14:paraId="094712E1" w14:textId="77777777">
                        <w:tc>
                          <w:tcPr>
                            <w:tcW w:w="2653" w:type="dxa"/>
                            <w:tcBorders>
                              <w:top w:val="single" w:sz="4" w:space="0" w:color="00000A"/>
                              <w:left w:val="single" w:sz="4" w:space="0" w:color="00000A"/>
                              <w:bottom w:val="single" w:sz="4" w:space="0" w:color="00000A"/>
                            </w:tcBorders>
                            <w:shd w:val="clear" w:color="auto" w:fill="FFFFFF"/>
                            <w:tcMar>
                              <w:left w:w="-2" w:type="dxa"/>
                            </w:tcMar>
                            <w:vAlign w:val="center"/>
                          </w:tcPr>
                          <w:p w14:paraId="35AF75D0" w14:textId="77777777" w:rsidR="00337C43" w:rsidRDefault="00337C43">
                            <w:pPr>
                              <w:pStyle w:val="Contenudecadre"/>
                              <w:ind w:left="142" w:hanging="142"/>
                              <w:jc w:val="center"/>
                            </w:pPr>
                            <w:r>
                              <w:rPr>
                                <w:b/>
                              </w:rPr>
                              <w:t>Nouvel atelier Abondance fermier</w:t>
                            </w:r>
                          </w:p>
                        </w:tc>
                        <w:tc>
                          <w:tcPr>
                            <w:tcW w:w="3544" w:type="dxa"/>
                            <w:tcBorders>
                              <w:top w:val="single" w:sz="4" w:space="0" w:color="00000A"/>
                              <w:left w:val="single" w:sz="4" w:space="0" w:color="00000A"/>
                              <w:bottom w:val="single" w:sz="4" w:space="0" w:color="00000A"/>
                            </w:tcBorders>
                            <w:shd w:val="clear" w:color="auto" w:fill="FFFFFF"/>
                            <w:tcMar>
                              <w:left w:w="-2" w:type="dxa"/>
                            </w:tcMar>
                            <w:vAlign w:val="center"/>
                          </w:tcPr>
                          <w:p w14:paraId="2747861B" w14:textId="77777777" w:rsidR="00337C43" w:rsidRDefault="00337C43">
                            <w:pPr>
                              <w:pStyle w:val="Contenudecadre"/>
                              <w:ind w:left="142" w:hanging="142"/>
                              <w:jc w:val="center"/>
                            </w:pPr>
                            <w:r>
                              <w:t>Sur-cotisation d</w:t>
                            </w:r>
                            <w:r>
                              <w:rPr>
                                <w:shd w:val="clear" w:color="auto" w:fill="FFFFFF"/>
                              </w:rPr>
                              <w:t xml:space="preserve">e </w:t>
                            </w:r>
                            <w:r>
                              <w:t xml:space="preserve">5,1 € (567 €/t) pour </w:t>
                            </w:r>
                            <w:r>
                              <w:rPr>
                                <w:shd w:val="clear" w:color="auto" w:fill="FFFFFF"/>
                              </w:rPr>
                              <w:t>les meules fabriquées entre 6</w:t>
                            </w:r>
                            <w:r>
                              <w:t xml:space="preserve"> et 8 t (+100% du volume) </w:t>
                            </w:r>
                          </w:p>
                          <w:p w14:paraId="7DF06F9B" w14:textId="77777777" w:rsidR="00337C43" w:rsidRDefault="00337C43">
                            <w:pPr>
                              <w:pStyle w:val="Contenudecadre"/>
                              <w:ind w:left="142" w:hanging="142"/>
                              <w:jc w:val="center"/>
                            </w:pPr>
                            <w:r>
                              <w:t>et de 20,4 € (2 267 €/t) pour celles dépassant 8 t</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vAlign w:val="center"/>
                          </w:tcPr>
                          <w:p w14:paraId="0BF67730" w14:textId="77777777" w:rsidR="00337C43" w:rsidRDefault="00337C43">
                            <w:pPr>
                              <w:pStyle w:val="Contenudecadre"/>
                              <w:ind w:left="142" w:hanging="142"/>
                              <w:jc w:val="center"/>
                            </w:pPr>
                            <w:r>
                              <w:t>Sur-cotisation de 5,1 € (567 €/t) pour les meules fabriquées entre 2 et 2,2 t (+10% du volume) et de 20,4 € (2 267 €/t) pour celles dépassant 2,2 t</w:t>
                            </w:r>
                          </w:p>
                        </w:tc>
                      </w:tr>
                      <w:tr w:rsidR="00337C43" w14:paraId="152EDEEB" w14:textId="77777777">
                        <w:tc>
                          <w:tcPr>
                            <w:tcW w:w="2653" w:type="dxa"/>
                            <w:tcBorders>
                              <w:top w:val="single" w:sz="4" w:space="0" w:color="00000A"/>
                              <w:left w:val="single" w:sz="4" w:space="0" w:color="00000A"/>
                              <w:bottom w:val="single" w:sz="4" w:space="0" w:color="00000A"/>
                            </w:tcBorders>
                            <w:shd w:val="clear" w:color="auto" w:fill="FFFFFF"/>
                            <w:tcMar>
                              <w:left w:w="-2" w:type="dxa"/>
                            </w:tcMar>
                            <w:vAlign w:val="center"/>
                          </w:tcPr>
                          <w:p w14:paraId="06ABFC30" w14:textId="77777777" w:rsidR="00337C43" w:rsidRDefault="00337C43">
                            <w:pPr>
                              <w:pStyle w:val="Contenudecadre"/>
                              <w:ind w:left="142" w:hanging="142"/>
                              <w:jc w:val="center"/>
                            </w:pPr>
                            <w:r>
                              <w:rPr>
                                <w:b/>
                              </w:rPr>
                              <w:t>Nouvel atelier Abondance laitier</w:t>
                            </w:r>
                          </w:p>
                          <w:p w14:paraId="0EF664A1" w14:textId="77777777" w:rsidR="00337C43" w:rsidRDefault="00337C43">
                            <w:pPr>
                              <w:pStyle w:val="Contenudecadre"/>
                              <w:ind w:left="142" w:hanging="142"/>
                              <w:jc w:val="center"/>
                            </w:pPr>
                          </w:p>
                        </w:tc>
                        <w:tc>
                          <w:tcPr>
                            <w:tcW w:w="3544" w:type="dxa"/>
                            <w:tcBorders>
                              <w:top w:val="single" w:sz="4" w:space="0" w:color="00000A"/>
                              <w:left w:val="single" w:sz="4" w:space="0" w:color="00000A"/>
                              <w:bottom w:val="single" w:sz="4" w:space="0" w:color="00000A"/>
                            </w:tcBorders>
                            <w:shd w:val="clear" w:color="auto" w:fill="FFFFFF"/>
                            <w:tcMar>
                              <w:left w:w="-2" w:type="dxa"/>
                            </w:tcMar>
                            <w:vAlign w:val="center"/>
                          </w:tcPr>
                          <w:p w14:paraId="1D7F27E4" w14:textId="77777777" w:rsidR="00337C43" w:rsidRDefault="00337C43">
                            <w:pPr>
                              <w:pStyle w:val="Contenudecadre"/>
                              <w:ind w:left="142" w:hanging="142"/>
                              <w:jc w:val="center"/>
                            </w:pPr>
                            <w:r>
                              <w:t>Sur-cotisation de 5,5 € (550 €/t) pour les meules fabriquées entre 40 et 44 t (+10% du volume) et de 22,0 € (2 202 €/t) pour celles dépassant 44 t</w:t>
                            </w:r>
                          </w:p>
                        </w:tc>
                        <w:tc>
                          <w:tcPr>
                            <w:tcW w:w="3560" w:type="dxa"/>
                            <w:tcBorders>
                              <w:top w:val="single" w:sz="4" w:space="0" w:color="00000A"/>
                              <w:left w:val="single" w:sz="4" w:space="0" w:color="00000A"/>
                              <w:bottom w:val="single" w:sz="4" w:space="0" w:color="00000A"/>
                              <w:right w:val="single" w:sz="4" w:space="0" w:color="00000A"/>
                            </w:tcBorders>
                            <w:shd w:val="clear" w:color="auto" w:fill="FFFFFF"/>
                            <w:tcMar>
                              <w:left w:w="-2" w:type="dxa"/>
                            </w:tcMar>
                            <w:vAlign w:val="center"/>
                          </w:tcPr>
                          <w:p w14:paraId="322A2088" w14:textId="77777777" w:rsidR="00337C43" w:rsidRDefault="00337C43">
                            <w:pPr>
                              <w:pStyle w:val="Contenudecadre"/>
                              <w:ind w:left="142" w:hanging="142"/>
                              <w:jc w:val="center"/>
                            </w:pPr>
                            <w:r>
                              <w:t>Sur-cotisation de 5,5 € (550 €/t) pour les meules fabriquées entre 20 et 22 t (+10% du volume) et de 22,0 € (2 202 €/t) pour celles dépassant 22 t</w:t>
                            </w:r>
                          </w:p>
                        </w:tc>
                      </w:tr>
                    </w:tbl>
                    <w:p w14:paraId="422AAB39" w14:textId="77777777" w:rsidR="00337C43" w:rsidRDefault="00337C43">
                      <w:pPr>
                        <w:pStyle w:val="Contenudecadre"/>
                      </w:pPr>
                    </w:p>
                  </w:txbxContent>
                </v:textbox>
                <w10:wrap anchorx="page"/>
              </v:rect>
            </w:pict>
          </mc:Fallback>
        </mc:AlternateContent>
      </w:r>
    </w:p>
    <w:p w14:paraId="3E986F15" w14:textId="77777777" w:rsidR="00685E04" w:rsidRDefault="00685E04">
      <w:pPr>
        <w:jc w:val="both"/>
      </w:pPr>
    </w:p>
    <w:p w14:paraId="78EA4C9F" w14:textId="77777777" w:rsidR="00685E04" w:rsidRDefault="00963ECD">
      <w:pPr>
        <w:jc w:val="both"/>
      </w:pPr>
      <w:r>
        <w:t>Pour un nouvel atelier fermier :</w:t>
      </w:r>
    </w:p>
    <w:p w14:paraId="4F8A615A" w14:textId="77777777" w:rsidR="00685E04" w:rsidRDefault="00963ECD">
      <w:pPr>
        <w:pStyle w:val="Paragraphedeliste1"/>
        <w:numPr>
          <w:ilvl w:val="0"/>
          <w:numId w:val="12"/>
        </w:numPr>
        <w:jc w:val="both"/>
        <w:rPr>
          <w:rFonts w:ascii="Cambria" w:hAnsi="Cambria"/>
          <w:sz w:val="24"/>
          <w:szCs w:val="24"/>
        </w:rPr>
      </w:pPr>
      <w:r>
        <w:rPr>
          <w:rFonts w:ascii="Cambria" w:hAnsi="Cambria"/>
          <w:sz w:val="24"/>
          <w:szCs w:val="24"/>
        </w:rPr>
        <w:t xml:space="preserve">la sur-cotisation de 5,1 € correspond environ à 5,4 % du </w:t>
      </w:r>
      <w:r>
        <w:rPr>
          <w:rFonts w:ascii="Cambria" w:hAnsi="Cambria"/>
          <w:color w:val="000000"/>
          <w:sz w:val="24"/>
          <w:szCs w:val="24"/>
        </w:rPr>
        <w:t xml:space="preserve">prix demi-gros départ-cave </w:t>
      </w:r>
      <w:r>
        <w:rPr>
          <w:rFonts w:ascii="Cambria" w:hAnsi="Cambria"/>
          <w:sz w:val="24"/>
          <w:szCs w:val="24"/>
        </w:rPr>
        <w:t>et à 3,6 % du prix de vente consommateur TTC en GMS ;</w:t>
      </w:r>
    </w:p>
    <w:p w14:paraId="0AC5A1A0" w14:textId="77777777" w:rsidR="00685E04" w:rsidRDefault="00963ECD">
      <w:pPr>
        <w:pStyle w:val="Paragraphedeliste1"/>
        <w:numPr>
          <w:ilvl w:val="0"/>
          <w:numId w:val="12"/>
        </w:numPr>
        <w:jc w:val="both"/>
        <w:rPr>
          <w:rFonts w:ascii="Cambria" w:hAnsi="Cambria"/>
          <w:sz w:val="24"/>
          <w:szCs w:val="24"/>
        </w:rPr>
      </w:pPr>
      <w:r>
        <w:rPr>
          <w:rFonts w:ascii="Cambria" w:hAnsi="Cambria"/>
          <w:sz w:val="24"/>
          <w:szCs w:val="24"/>
        </w:rPr>
        <w:t xml:space="preserve">la sur-cotisation de 20,4 € correspond environ à 21,6 % du </w:t>
      </w:r>
      <w:r>
        <w:rPr>
          <w:rFonts w:ascii="Cambria" w:hAnsi="Cambria"/>
          <w:color w:val="000000"/>
          <w:sz w:val="24"/>
          <w:szCs w:val="24"/>
        </w:rPr>
        <w:t xml:space="preserve">prix demi-gros départ-cave </w:t>
      </w:r>
      <w:r>
        <w:rPr>
          <w:rFonts w:ascii="Cambria" w:hAnsi="Cambria"/>
          <w:sz w:val="24"/>
          <w:szCs w:val="24"/>
        </w:rPr>
        <w:t>et à 14,3 % du prix de vente consommateur TTC en GMS.</w:t>
      </w:r>
    </w:p>
    <w:p w14:paraId="5AD62820" w14:textId="77777777" w:rsidR="00685E04" w:rsidRDefault="00963ECD">
      <w:pPr>
        <w:jc w:val="both"/>
      </w:pPr>
      <w:r>
        <w:t>Pour un nouvel atelier laitier :</w:t>
      </w:r>
    </w:p>
    <w:p w14:paraId="64CE4BE2" w14:textId="77777777" w:rsidR="00685E04" w:rsidRDefault="00963ECD">
      <w:pPr>
        <w:pStyle w:val="Paragraphedeliste1"/>
        <w:numPr>
          <w:ilvl w:val="0"/>
          <w:numId w:val="15"/>
        </w:numPr>
        <w:ind w:left="709"/>
        <w:jc w:val="both"/>
        <w:rPr>
          <w:sz w:val="24"/>
          <w:szCs w:val="24"/>
        </w:rPr>
      </w:pPr>
      <w:r>
        <w:rPr>
          <w:sz w:val="24"/>
          <w:szCs w:val="24"/>
        </w:rPr>
        <w:lastRenderedPageBreak/>
        <w:t>la sur-cotisation de 5,5 € correspond environ à 7 % du prix départ-cave et à 3,5 % du prix de vente consommateur TTC en GMS ;</w:t>
      </w:r>
    </w:p>
    <w:p w14:paraId="59420B65" w14:textId="77777777" w:rsidR="00685E04" w:rsidRDefault="00963ECD">
      <w:pPr>
        <w:numPr>
          <w:ilvl w:val="0"/>
          <w:numId w:val="15"/>
        </w:numPr>
        <w:ind w:left="709"/>
        <w:jc w:val="both"/>
      </w:pPr>
      <w:r>
        <w:t>la sur-cotisation de 22,0 € correspond environ à 27,9 % du prix départ-cave et à 13,9 % du prix de vente consommateur TTC en GMS.</w:t>
      </w:r>
    </w:p>
    <w:sectPr w:rsidR="00685E0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1C096" w14:textId="77777777" w:rsidR="00A01511" w:rsidRDefault="00A01511">
      <w:r>
        <w:separator/>
      </w:r>
    </w:p>
  </w:endnote>
  <w:endnote w:type="continuationSeparator" w:id="0">
    <w:p w14:paraId="35539D90" w14:textId="77777777" w:rsidR="00A01511" w:rsidRDefault="00A0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ont41">
    <w:altName w:val="Cambria"/>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Symbol">
    <w:altName w:val="Calibri"/>
    <w:panose1 w:val="020B0604020202020204"/>
    <w:charset w:val="00"/>
    <w:family w:val="auto"/>
    <w:pitch w:val="variable"/>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ont319">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DFF1" w14:textId="77777777" w:rsidR="00337C43" w:rsidRDefault="00337C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0055" w14:textId="77777777" w:rsidR="00337C43" w:rsidRDefault="00337C43">
    <w:pPr>
      <w:pStyle w:val="Pieddepage"/>
      <w:ind w:right="360"/>
    </w:pPr>
    <w:r>
      <w:rPr>
        <w:noProof/>
      </w:rPr>
      <mc:AlternateContent>
        <mc:Choice Requires="wps">
          <w:drawing>
            <wp:anchor distT="0" distB="0" distL="0" distR="0" simplePos="0" relativeHeight="19" behindDoc="1" locked="0" layoutInCell="1" allowOverlap="1" wp14:anchorId="4A5F36B8" wp14:editId="41C31AB8">
              <wp:simplePos x="0" y="0"/>
              <wp:positionH relativeFrom="page">
                <wp:posOffset>6670675</wp:posOffset>
              </wp:positionH>
              <wp:positionV relativeFrom="paragraph">
                <wp:posOffset>635</wp:posOffset>
              </wp:positionV>
              <wp:extent cx="172085" cy="180975"/>
              <wp:effectExtent l="3175" t="635" r="5715" b="0"/>
              <wp:wrapSquare wrapText="largest"/>
              <wp:docPr id="8" name="Text Box 1"/>
              <wp:cNvGraphicFramePr/>
              <a:graphic xmlns:a="http://schemas.openxmlformats.org/drawingml/2006/main">
                <a:graphicData uri="http://schemas.microsoft.com/office/word/2010/wordprocessingShape">
                  <wps:wsp>
                    <wps:cNvSpPr/>
                    <wps:spPr>
                      <a:xfrm>
                        <a:off x="0" y="0"/>
                        <a:ext cx="171360" cy="180360"/>
                      </a:xfrm>
                      <a:prstGeom prst="rect">
                        <a:avLst/>
                      </a:prstGeom>
                      <a:noFill/>
                      <a:ln>
                        <a:noFill/>
                      </a:ln>
                    </wps:spPr>
                    <wps:style>
                      <a:lnRef idx="0">
                        <a:scrgbClr r="0" g="0" b="0"/>
                      </a:lnRef>
                      <a:fillRef idx="0">
                        <a:scrgbClr r="0" g="0" b="0"/>
                      </a:fillRef>
                      <a:effectRef idx="0">
                        <a:scrgbClr r="0" g="0" b="0"/>
                      </a:effectRef>
                      <a:fontRef idx="minor"/>
                    </wps:style>
                    <wps:txbx>
                      <w:txbxContent>
                        <w:p w14:paraId="79F4DF49" w14:textId="77777777" w:rsidR="00337C43" w:rsidRDefault="00337C43">
                          <w:pPr>
                            <w:pStyle w:val="Pieddepage"/>
                            <w:rPr>
                              <w:color w:val="000000"/>
                            </w:rPr>
                          </w:pPr>
                          <w:r>
                            <w:rPr>
                              <w:color w:val="000000"/>
                            </w:rPr>
                            <w:fldChar w:fldCharType="begin"/>
                          </w:r>
                          <w:r>
                            <w:instrText>PAGE</w:instrText>
                          </w:r>
                          <w:r>
                            <w:fldChar w:fldCharType="separate"/>
                          </w:r>
                          <w:r>
                            <w:t>18</w:t>
                          </w:r>
                          <w:r>
                            <w:fldChar w:fldCharType="end"/>
                          </w:r>
                        </w:p>
                      </w:txbxContent>
                    </wps:txbx>
                    <wps:bodyPr lIns="0" tIns="0" rIns="0" bIns="0">
                      <a:noAutofit/>
                    </wps:bodyPr>
                  </wps:wsp>
                </a:graphicData>
              </a:graphic>
            </wp:anchor>
          </w:drawing>
        </mc:Choice>
        <mc:Fallback>
          <w:pict>
            <v:rect w14:anchorId="4A5F36B8" id="Text Box 1" o:spid="_x0000_s1028" style="position:absolute;margin-left:525.25pt;margin-top:.05pt;width:13.55pt;height:14.25pt;z-index:-5033164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" filled="f" stroked="f">
              <v:textbox inset="0,0,0,0">
                <w:txbxContent>
                  <w:p w14:paraId="79F4DF49" w14:textId="77777777" w:rsidR="00685E04" w:rsidRDefault="00963ECD">
                    <w:pPr>
                      <w:pStyle w:val="Pieddepage"/>
                      <w:rPr>
                        <w:color w:val="000000"/>
                      </w:rPr>
                    </w:pPr>
                    <w:r>
                      <w:rPr>
                        <w:color w:val="000000"/>
                      </w:rPr>
                      <w:fldChar w:fldCharType="begin"/>
                    </w:r>
                    <w:r>
                      <w:instrText>PAGE</w:instrText>
                    </w:r>
                    <w:r>
                      <w:fldChar w:fldCharType="separate"/>
                    </w:r>
                    <w:r>
                      <w:t>18</w:t>
                    </w:r>
                    <w:r>
                      <w:fldChar w:fldCharType="end"/>
                    </w:r>
                  </w:p>
                </w:txbxContent>
              </v:textbox>
              <w10:wrap type="square" side="largest" anchorx="page"/>
            </v:rect>
          </w:pict>
        </mc:Fallback>
      </mc:AlternateContent>
    </w:r>
    <w:r>
      <w:rPr>
        <w:noProof/>
      </w:rPr>
      <mc:AlternateContent>
        <mc:Choice Requires="wps">
          <w:drawing>
            <wp:anchor distT="0" distB="0" distL="114300" distR="114300" simplePos="0" relativeHeight="38" behindDoc="1" locked="0" layoutInCell="1" allowOverlap="1" wp14:anchorId="74E4D191" wp14:editId="0948A7E2">
              <wp:simplePos x="0" y="0"/>
              <wp:positionH relativeFrom="page">
                <wp:posOffset>6666865</wp:posOffset>
              </wp:positionH>
              <wp:positionV relativeFrom="paragraph">
                <wp:posOffset>635</wp:posOffset>
              </wp:positionV>
              <wp:extent cx="175895" cy="180340"/>
              <wp:effectExtent l="0" t="635" r="5715" b="0"/>
              <wp:wrapSquare wrapText="largest"/>
              <wp:docPr id="10" name="Text Box 2"/>
              <wp:cNvGraphicFramePr/>
              <a:graphic xmlns:a="http://schemas.openxmlformats.org/drawingml/2006/main">
                <a:graphicData uri="http://schemas.microsoft.com/office/word/2010/wordprocessingShape">
                  <wps:wsp>
                    <wps:cNvSpPr/>
                    <wps:spPr>
                      <a:xfrm>
                        <a:off x="0" y="0"/>
                        <a:ext cx="175320" cy="1796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2" stroked="f" style="position:absolute;margin-left:524.95pt;margin-top:0.05pt;width:13.75pt;height:14.1pt;mso-position-horizontal-relative:page" wp14:anchorId="1B388899">
              <w10:wrap type="none"/>
              <v:fill on="false" o:detectmouseclick="t"/>
              <v:stroke color="#3465a4" joinstyle="round" endcap="flat"/>
            </v:rect>
          </w:pict>
        </mc:Fallback>
      </mc:AlternateContent>
    </w:r>
    <w:r>
      <w:rPr>
        <w:noProof/>
      </w:rPr>
      <mc:AlternateContent>
        <mc:Choice Requires="wps">
          <w:drawing>
            <wp:anchor distT="72390" distB="72390" distL="72390" distR="72390" simplePos="0" relativeHeight="57" behindDoc="1" locked="0" layoutInCell="1" allowOverlap="1" wp14:anchorId="435D347C" wp14:editId="69B35967">
              <wp:simplePos x="0" y="0"/>
              <wp:positionH relativeFrom="page">
                <wp:posOffset>6594475</wp:posOffset>
              </wp:positionH>
              <wp:positionV relativeFrom="paragraph">
                <wp:posOffset>635</wp:posOffset>
              </wp:positionV>
              <wp:extent cx="175260" cy="180340"/>
              <wp:effectExtent l="3175" t="635" r="2540" b="0"/>
              <wp:wrapNone/>
              <wp:docPr id="11" name="Text Box 3"/>
              <wp:cNvGraphicFramePr/>
              <a:graphic xmlns:a="http://schemas.openxmlformats.org/drawingml/2006/main">
                <a:graphicData uri="http://schemas.microsoft.com/office/word/2010/wordprocessingShape">
                  <wps:wsp>
                    <wps:cNvSpPr/>
                    <wps:spPr>
                      <a:xfrm>
                        <a:off x="0" y="0"/>
                        <a:ext cx="174600" cy="1796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6883D2DB" w14:textId="77777777" w:rsidR="00337C43" w:rsidRDefault="00337C43">
                          <w:pPr>
                            <w:pStyle w:val="Contenudecadre"/>
                            <w:rPr>
                              <w:color w:val="000000"/>
                            </w:rPr>
                          </w:pPr>
                        </w:p>
                      </w:txbxContent>
                    </wps:txbx>
                    <wps:bodyPr lIns="0" tIns="0" rIns="0" bIns="0">
                      <a:noAutofit/>
                    </wps:bodyPr>
                  </wps:wsp>
                </a:graphicData>
              </a:graphic>
            </wp:anchor>
          </w:drawing>
        </mc:Choice>
        <mc:Fallback>
          <w:pict>
            <v:rect w14:anchorId="435D347C" id="Text Box 3" o:spid="_x0000_s1029" style="position:absolute;margin-left:519.25pt;margin-top:.05pt;width:13.8pt;height:14.2pt;z-index:-503316423;visibility:visible;mso-wrap-style:square;mso-wrap-distance-left:5.7pt;mso-wrap-distance-top:5.7pt;mso-wrap-distance-right:5.7pt;mso-wrap-distance-bottom:5.7pt;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" stroked="f">
              <v:textbox inset="0,0,0,0">
                <w:txbxContent>
                  <w:p w14:paraId="6883D2DB" w14:textId="77777777" w:rsidR="00685E04" w:rsidRDefault="00685E04">
                    <w:pPr>
                      <w:pStyle w:val="Contenudecadre"/>
                      <w:rPr>
                        <w:color w:val="000000"/>
                      </w:rPr>
                    </w:pPr>
                  </w:p>
                </w:txbxContent>
              </v:textbox>
              <w10:wrap anchorx="page"/>
            </v:rect>
          </w:pict>
        </mc:Fallback>
      </mc:AlternateContent>
    </w:r>
    <w:r>
      <w:rPr>
        <w:noProof/>
      </w:rPr>
      <mc:AlternateContent>
        <mc:Choice Requires="wps">
          <w:drawing>
            <wp:anchor distT="0" distB="0" distL="0" distR="0" simplePos="0" relativeHeight="78" behindDoc="1" locked="0" layoutInCell="1" allowOverlap="1" wp14:anchorId="2079B4E3" wp14:editId="781D3497">
              <wp:simplePos x="0" y="0"/>
              <wp:positionH relativeFrom="margin">
                <wp:align>right</wp:align>
              </wp:positionH>
              <wp:positionV relativeFrom="paragraph">
                <wp:posOffset>635</wp:posOffset>
              </wp:positionV>
              <wp:extent cx="171450" cy="177800"/>
              <wp:effectExtent l="0" t="0" r="0" b="0"/>
              <wp:wrapSquare wrapText="largest"/>
              <wp:docPr id="13" name="Cadre5"/>
              <wp:cNvGraphicFramePr/>
              <a:graphic xmlns:a="http://schemas.openxmlformats.org/drawingml/2006/main">
                <a:graphicData uri="http://schemas.microsoft.com/office/word/2010/wordprocessingShape">
                  <wps:wsp>
                    <wps:cNvSpPr/>
                    <wps:spPr>
                      <a:xfrm>
                        <a:off x="0" y="0"/>
                        <a:ext cx="170640" cy="177120"/>
                      </a:xfrm>
                      <a:prstGeom prst="rect">
                        <a:avLst/>
                      </a:prstGeom>
                      <a:noFill/>
                      <a:ln>
                        <a:noFill/>
                      </a:ln>
                    </wps:spPr>
                    <wps:style>
                      <a:lnRef idx="0">
                        <a:scrgbClr r="0" g="0" b="0"/>
                      </a:lnRef>
                      <a:fillRef idx="0">
                        <a:scrgbClr r="0" g="0" b="0"/>
                      </a:fillRef>
                      <a:effectRef idx="0">
                        <a:scrgbClr r="0" g="0" b="0"/>
                      </a:effectRef>
                      <a:fontRef idx="minor"/>
                    </wps:style>
                    <wps:txbx>
                      <w:txbxContent>
                        <w:p w14:paraId="53CFA282" w14:textId="77777777" w:rsidR="00337C43" w:rsidRDefault="00337C43">
                          <w:pPr>
                            <w:pStyle w:val="Pieddepage"/>
                            <w:rPr>
                              <w:color w:val="000000"/>
                            </w:rPr>
                          </w:pPr>
                          <w:r>
                            <w:rPr>
                              <w:color w:val="000000"/>
                            </w:rPr>
                            <w:fldChar w:fldCharType="begin"/>
                          </w:r>
                          <w:r>
                            <w:instrText>PAGE</w:instrText>
                          </w:r>
                          <w:r>
                            <w:fldChar w:fldCharType="separate"/>
                          </w:r>
                          <w:r>
                            <w:t>18</w:t>
                          </w:r>
                          <w:r>
                            <w:fldChar w:fldCharType="end"/>
                          </w:r>
                        </w:p>
                      </w:txbxContent>
                    </wps:txbx>
                    <wps:bodyPr lIns="0" tIns="0" rIns="0" bIns="0">
                      <a:spAutoFit/>
                    </wps:bodyPr>
                  </wps:wsp>
                </a:graphicData>
              </a:graphic>
            </wp:anchor>
          </w:drawing>
        </mc:Choice>
        <mc:Fallback>
          <w:pict>
            <v:rect w14:anchorId="2079B4E3" id="Cadre5" o:spid="_x0000_s1030" style="position:absolute;margin-left:-37.7pt;margin-top:.05pt;width:13.5pt;height:14pt;z-index:-50331640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" filled="f" stroked="f">
              <v:textbox style="mso-fit-shape-to-text:t" inset="0,0,0,0">
                <w:txbxContent>
                  <w:p w14:paraId="53CFA282" w14:textId="77777777" w:rsidR="00685E04" w:rsidRDefault="00963ECD">
                    <w:pPr>
                      <w:pStyle w:val="Pieddepage"/>
                      <w:rPr>
                        <w:color w:val="000000"/>
                      </w:rPr>
                    </w:pPr>
                    <w:r>
                      <w:rPr>
                        <w:color w:val="000000"/>
                      </w:rPr>
                      <w:fldChar w:fldCharType="begin"/>
                    </w:r>
                    <w:r>
                      <w:instrText>PAGE</w:instrText>
                    </w:r>
                    <w:r>
                      <w:fldChar w:fldCharType="separate"/>
                    </w:r>
                    <w:r>
                      <w:t>18</w:t>
                    </w:r>
                    <w: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DCF8" w14:textId="77777777" w:rsidR="00337C43" w:rsidRDefault="00337C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7FF88" w14:textId="77777777" w:rsidR="00A01511" w:rsidRDefault="00A01511">
      <w:r>
        <w:separator/>
      </w:r>
    </w:p>
  </w:footnote>
  <w:footnote w:type="continuationSeparator" w:id="0">
    <w:p w14:paraId="60C844CE" w14:textId="77777777" w:rsidR="00A01511" w:rsidRDefault="00A01511">
      <w:r>
        <w:continuationSeparator/>
      </w:r>
    </w:p>
  </w:footnote>
  <w:footnote w:id="1">
    <w:p w14:paraId="299737AD" w14:textId="77777777" w:rsidR="00337C43" w:rsidRDefault="00337C43" w:rsidP="00EC0D20">
      <w:pPr>
        <w:pStyle w:val="Notedebasdepage"/>
      </w:pPr>
      <w:r>
        <w:rPr>
          <w:rStyle w:val="Caractresdenotedebasdepage"/>
        </w:rPr>
        <w:footnoteRef/>
      </w:r>
      <w:r>
        <w:rPr>
          <w:rStyle w:val="Caractresdenotedebasdepage"/>
        </w:rPr>
        <w:tab/>
      </w:r>
      <w:r>
        <w:t xml:space="preserve"> Une meule laitière pesant en moyenne 10 kg, après validation par le Conseil d’administration du SIFA.</w:t>
      </w:r>
    </w:p>
    <w:p w14:paraId="293FAC1C" w14:textId="77777777" w:rsidR="00337C43" w:rsidRDefault="00337C43" w:rsidP="00EC0D20">
      <w:pPr>
        <w:pStyle w:val="Notedebasdepage"/>
      </w:pPr>
    </w:p>
  </w:footnote>
  <w:footnote w:id="2">
    <w:p w14:paraId="0ABA73DC" w14:textId="77777777" w:rsidR="00337C43" w:rsidRDefault="00337C43" w:rsidP="00EC0D20">
      <w:pPr>
        <w:pStyle w:val="Notedebasdepage"/>
      </w:pPr>
      <w:r>
        <w:rPr>
          <w:rStyle w:val="Caractresdenotedebasdepage"/>
        </w:rPr>
        <w:footnoteRef/>
      </w:r>
      <w:r>
        <w:rPr>
          <w:rStyle w:val="Caractresdenotedebasdepage"/>
        </w:rPr>
        <w:tab/>
      </w:r>
      <w:r>
        <w:t xml:space="preserve"> Une meule fermière pesant en moyenne 9 kg, après validation par le Conseil d’administration du SIFA.</w:t>
      </w:r>
    </w:p>
    <w:p w14:paraId="21F349A5" w14:textId="77777777" w:rsidR="00337C43" w:rsidRDefault="00337C43" w:rsidP="00EC0D2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50303" w14:textId="77777777" w:rsidR="00337C43" w:rsidRDefault="00337C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67028" w14:textId="77777777" w:rsidR="00337C43" w:rsidRDefault="00337C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BECDC" w14:textId="77777777" w:rsidR="00337C43" w:rsidRDefault="00337C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1F5A"/>
    <w:multiLevelType w:val="multilevel"/>
    <w:tmpl w:val="13527AE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564EDF"/>
    <w:multiLevelType w:val="multilevel"/>
    <w:tmpl w:val="0868C328"/>
    <w:lvl w:ilvl="0">
      <w:start w:val="1"/>
      <w:numFmt w:val="decimal"/>
      <w:lvlText w:val="%1"/>
      <w:lvlJc w:val="left"/>
      <w:pPr>
        <w:ind w:left="432" w:hanging="432"/>
      </w:pPr>
    </w:lvl>
    <w:lvl w:ilvl="1">
      <w:start w:val="1"/>
      <w:numFmt w:val="decimal"/>
      <w:lvlText w:val="%1.%2"/>
      <w:lvlJc w:val="left"/>
      <w:pPr>
        <w:ind w:left="576" w:hanging="576"/>
      </w:pPr>
      <w:rPr>
        <w:rFonts w:eastAsia="MS Mincho" w:cs="Cambria"/>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B7049E"/>
    <w:multiLevelType w:val="multilevel"/>
    <w:tmpl w:val="9722A0F8"/>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sz w:val="24"/>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sz w:val="24"/>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1DC42F18"/>
    <w:multiLevelType w:val="multilevel"/>
    <w:tmpl w:val="F05CA5F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E46176C"/>
    <w:multiLevelType w:val="multilevel"/>
    <w:tmpl w:val="5AEC8A1A"/>
    <w:lvl w:ilvl="0">
      <w:start w:val="1"/>
      <w:numFmt w:val="bullet"/>
      <w:lvlText w:val=""/>
      <w:lvlJc w:val="left"/>
      <w:pPr>
        <w:ind w:left="720" w:hanging="360"/>
      </w:pPr>
      <w:rPr>
        <w:rFonts w:ascii="Symbol" w:hAnsi="Symbol" w:cs="Symbol" w:hint="default"/>
        <w:sz w:val="24"/>
        <w:shd w:val="clear" w:color="auto" w:fill="FFFF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shd w:val="clear" w:color="auto" w:fill="FFFFFF"/>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shd w:val="clear" w:color="auto" w:fill="FFFFFF"/>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EB87ECF"/>
    <w:multiLevelType w:val="multilevel"/>
    <w:tmpl w:val="365CF3B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B5C01F2"/>
    <w:multiLevelType w:val="multilevel"/>
    <w:tmpl w:val="814CA59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E2F5F0B"/>
    <w:multiLevelType w:val="multilevel"/>
    <w:tmpl w:val="025A776E"/>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E4F6BDF"/>
    <w:multiLevelType w:val="multilevel"/>
    <w:tmpl w:val="117E86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39B2D84"/>
    <w:multiLevelType w:val="multilevel"/>
    <w:tmpl w:val="9F40F47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539D69D7"/>
    <w:multiLevelType w:val="multilevel"/>
    <w:tmpl w:val="552268EA"/>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sz w:val="24"/>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sz w:val="24"/>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57180DEF"/>
    <w:multiLevelType w:val="multilevel"/>
    <w:tmpl w:val="8BD602D4"/>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39A61C9"/>
    <w:multiLevelType w:val="multilevel"/>
    <w:tmpl w:val="62AE28E2"/>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46F490E"/>
    <w:multiLevelType w:val="multilevel"/>
    <w:tmpl w:val="D406993A"/>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sz w:val="24"/>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sz w:val="24"/>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72643629"/>
    <w:multiLevelType w:val="multilevel"/>
    <w:tmpl w:val="0B5C0C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747B6CF0"/>
    <w:multiLevelType w:val="multilevel"/>
    <w:tmpl w:val="FB9E7B7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52E2616"/>
    <w:multiLevelType w:val="multilevel"/>
    <w:tmpl w:val="9BFCA0E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9"/>
  </w:num>
  <w:num w:numId="2">
    <w:abstractNumId w:val="12"/>
  </w:num>
  <w:num w:numId="3">
    <w:abstractNumId w:val="15"/>
  </w:num>
  <w:num w:numId="4">
    <w:abstractNumId w:val="0"/>
  </w:num>
  <w:num w:numId="5">
    <w:abstractNumId w:val="8"/>
  </w:num>
  <w:num w:numId="6">
    <w:abstractNumId w:val="1"/>
  </w:num>
  <w:num w:numId="7">
    <w:abstractNumId w:val="5"/>
  </w:num>
  <w:num w:numId="8">
    <w:abstractNumId w:val="11"/>
  </w:num>
  <w:num w:numId="9">
    <w:abstractNumId w:val="16"/>
  </w:num>
  <w:num w:numId="10">
    <w:abstractNumId w:val="4"/>
  </w:num>
  <w:num w:numId="11">
    <w:abstractNumId w:val="7"/>
  </w:num>
  <w:num w:numId="12">
    <w:abstractNumId w:val="3"/>
  </w:num>
  <w:num w:numId="13">
    <w:abstractNumId w:val="10"/>
  </w:num>
  <w:num w:numId="14">
    <w:abstractNumId w:val="6"/>
  </w:num>
  <w:num w:numId="15">
    <w:abstractNumId w:val="2"/>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defaultTabStop w:val="57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04"/>
    <w:rsid w:val="0000439A"/>
    <w:rsid w:val="000131C0"/>
    <w:rsid w:val="00193C5C"/>
    <w:rsid w:val="001E2AD2"/>
    <w:rsid w:val="002B6448"/>
    <w:rsid w:val="00337C43"/>
    <w:rsid w:val="004878EC"/>
    <w:rsid w:val="00664C4F"/>
    <w:rsid w:val="00685E04"/>
    <w:rsid w:val="00694C2B"/>
    <w:rsid w:val="006B2CCA"/>
    <w:rsid w:val="006E12D9"/>
    <w:rsid w:val="00785E93"/>
    <w:rsid w:val="00963ECD"/>
    <w:rsid w:val="00A01511"/>
    <w:rsid w:val="00B15E27"/>
    <w:rsid w:val="00BA5801"/>
    <w:rsid w:val="00C038A8"/>
    <w:rsid w:val="00CA4999"/>
    <w:rsid w:val="00E544E9"/>
    <w:rsid w:val="00E802EB"/>
    <w:rsid w:val="00EC0D20"/>
    <w:rsid w:val="00EC262A"/>
    <w:rsid w:val="00FD25F0"/>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0332"/>
  <w15:docId w15:val="{82472D86-AA30-DC43-A47D-00B3BBD0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Cambria" w:eastAsia="MS Mincho" w:hAnsi="Cambria" w:cs="font41"/>
      <w:color w:val="00000A"/>
      <w:sz w:val="24"/>
      <w:szCs w:val="24"/>
      <w:lang w:eastAsia="zh-CN"/>
    </w:rPr>
  </w:style>
  <w:style w:type="paragraph" w:styleId="Titre1">
    <w:name w:val="heading 1"/>
    <w:basedOn w:val="Normal"/>
    <w:next w:val="Normal"/>
    <w:qFormat/>
    <w:pPr>
      <w:keepNext/>
      <w:keepLines/>
      <w:spacing w:before="480"/>
      <w:outlineLvl w:val="0"/>
    </w:pPr>
    <w:rPr>
      <w:rFonts w:ascii="Calibri" w:eastAsia="MS Gothic" w:hAnsi="Calibri"/>
      <w:b/>
      <w:bCs/>
      <w:color w:val="345A8A"/>
      <w:sz w:val="32"/>
      <w:szCs w:val="32"/>
    </w:rPr>
  </w:style>
  <w:style w:type="paragraph" w:styleId="Titre2">
    <w:name w:val="heading 2"/>
    <w:basedOn w:val="Normal"/>
    <w:next w:val="Normal"/>
    <w:qFormat/>
    <w:pPr>
      <w:keepNext/>
      <w:keepLines/>
      <w:spacing w:before="200"/>
      <w:outlineLvl w:val="1"/>
    </w:pPr>
    <w:rPr>
      <w:rFonts w:ascii="Calibri" w:eastAsia="MS Gothic" w:hAnsi="Calibri"/>
      <w:b/>
      <w:bCs/>
      <w:color w:val="4F81BD"/>
      <w:sz w:val="26"/>
      <w:szCs w:val="26"/>
    </w:rPr>
  </w:style>
  <w:style w:type="paragraph" w:styleId="Titre3">
    <w:name w:val="heading 3"/>
    <w:basedOn w:val="Normal"/>
    <w:next w:val="Normal"/>
    <w:qFormat/>
    <w:pPr>
      <w:keepNext/>
      <w:keepLines/>
      <w:spacing w:before="200"/>
      <w:outlineLvl w:val="2"/>
    </w:pPr>
    <w:rPr>
      <w:rFonts w:ascii="Calibri" w:eastAsia="MS Gothic" w:hAnsi="Calibri"/>
      <w:b/>
      <w:bCs/>
      <w:color w:val="4F81BD"/>
    </w:rPr>
  </w:style>
  <w:style w:type="paragraph" w:styleId="Titre4">
    <w:name w:val="heading 4"/>
    <w:basedOn w:val="Normal"/>
    <w:next w:val="Normal"/>
    <w:qFormat/>
    <w:pPr>
      <w:keepNext/>
      <w:keepLines/>
      <w:spacing w:before="200"/>
      <w:outlineLvl w:val="3"/>
    </w:pPr>
    <w:rPr>
      <w:rFonts w:ascii="Calibri" w:eastAsia="MS Gothic" w:hAnsi="Calibri"/>
      <w:b/>
      <w:bCs/>
      <w:i/>
      <w:iCs/>
      <w:color w:val="4F81BD"/>
    </w:rPr>
  </w:style>
  <w:style w:type="paragraph" w:styleId="Titre5">
    <w:name w:val="heading 5"/>
    <w:basedOn w:val="Normal"/>
    <w:next w:val="Normal"/>
    <w:qFormat/>
    <w:pPr>
      <w:keepNext/>
      <w:keepLines/>
      <w:spacing w:before="200"/>
      <w:outlineLvl w:val="4"/>
    </w:pPr>
    <w:rPr>
      <w:rFonts w:ascii="Calibri" w:eastAsia="MS Gothic" w:hAnsi="Calibri"/>
      <w:color w:val="243F60"/>
    </w:rPr>
  </w:style>
  <w:style w:type="paragraph" w:styleId="Titre6">
    <w:name w:val="heading 6"/>
    <w:basedOn w:val="Normal"/>
    <w:next w:val="Normal"/>
    <w:qFormat/>
    <w:pPr>
      <w:keepNext/>
      <w:keepLines/>
      <w:spacing w:before="200"/>
      <w:outlineLvl w:val="5"/>
    </w:pPr>
    <w:rPr>
      <w:rFonts w:ascii="Calibri" w:eastAsia="MS Gothic" w:hAnsi="Calibri"/>
      <w:i/>
      <w:iCs/>
      <w:color w:val="243F60"/>
    </w:rPr>
  </w:style>
  <w:style w:type="paragraph" w:styleId="Titre7">
    <w:name w:val="heading 7"/>
    <w:basedOn w:val="Normal"/>
    <w:next w:val="Normal"/>
    <w:qFormat/>
    <w:pPr>
      <w:keepNext/>
      <w:keepLines/>
      <w:spacing w:before="200"/>
      <w:outlineLvl w:val="6"/>
    </w:pPr>
    <w:rPr>
      <w:rFonts w:ascii="Calibri" w:eastAsia="MS Gothic" w:hAnsi="Calibri"/>
      <w:i/>
      <w:iCs/>
      <w:color w:val="404040"/>
    </w:rPr>
  </w:style>
  <w:style w:type="paragraph" w:styleId="Titre8">
    <w:name w:val="heading 8"/>
    <w:basedOn w:val="Normal"/>
    <w:next w:val="Normal"/>
    <w:qFormat/>
    <w:pPr>
      <w:keepNext/>
      <w:keepLines/>
      <w:spacing w:before="200"/>
      <w:outlineLvl w:val="7"/>
    </w:pPr>
    <w:rPr>
      <w:rFonts w:ascii="Calibri" w:eastAsia="MS Gothic" w:hAnsi="Calibri"/>
      <w:color w:val="404040"/>
      <w:sz w:val="20"/>
      <w:szCs w:val="20"/>
    </w:rPr>
  </w:style>
  <w:style w:type="paragraph" w:styleId="Titre9">
    <w:name w:val="heading 9"/>
    <w:basedOn w:val="Normal"/>
    <w:next w:val="Normal"/>
    <w:qFormat/>
    <w:pPr>
      <w:keepNext/>
      <w:keepLines/>
      <w:spacing w:before="200"/>
      <w:outlineLvl w:val="8"/>
    </w:pPr>
    <w:rPr>
      <w:rFonts w:ascii="Calibri" w:eastAsia="MS Gothic" w:hAnsi="Calibri"/>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Symbol"/>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color w:val="00000A"/>
      <w:shd w:val="clear" w:color="auto" w:fill="FFFF0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b/>
    </w:rPr>
  </w:style>
  <w:style w:type="character" w:customStyle="1" w:styleId="WW8Num4z0">
    <w:name w:val="WW8Num4z0"/>
    <w:qFormat/>
    <w:rPr>
      <w:rFonts w:ascii="Symbol" w:hAnsi="Symbol" w:cs="Symbol"/>
      <w:b/>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rPr>
      <w:rFonts w:ascii="Cambria" w:eastAsia="MS Mincho" w:hAnsi="Cambria" w:cs="Cambria"/>
      <w:b/>
      <w:bCs/>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b/>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b/>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shd w:val="clear" w:color="auto" w:fill="FFFF0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b/>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hd w:val="clear" w:color="auto" w:fill="FFFFFF"/>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hd w:val="clear" w:color="auto" w:fill="66FFFF"/>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Policepardfaut1">
    <w:name w:val="Police par défaut1"/>
    <w:qFormat/>
  </w:style>
  <w:style w:type="character" w:customStyle="1" w:styleId="Policepardfaut2">
    <w:name w:val="Police par défaut2"/>
    <w:qFormat/>
  </w:style>
  <w:style w:type="character" w:customStyle="1" w:styleId="TextedebullesCar">
    <w:name w:val="Texte de bulles Car"/>
    <w:qFormat/>
    <w:rPr>
      <w:rFonts w:ascii="Lucida Grande" w:hAnsi="Lucida Grande" w:cs="Lucida Grande"/>
      <w:sz w:val="18"/>
      <w:szCs w:val="18"/>
    </w:rPr>
  </w:style>
  <w:style w:type="character" w:customStyle="1" w:styleId="LienInternet">
    <w:name w:val="Lien Internet"/>
    <w:rPr>
      <w:color w:val="0000FF"/>
      <w:u w:val="single"/>
    </w:rPr>
  </w:style>
  <w:style w:type="character" w:customStyle="1" w:styleId="Marquedannotation1">
    <w:name w:val="Marque d'annotation1"/>
    <w:qFormat/>
    <w:rPr>
      <w:sz w:val="18"/>
      <w:szCs w:val="18"/>
    </w:rPr>
  </w:style>
  <w:style w:type="character" w:customStyle="1" w:styleId="CommentaireCar">
    <w:name w:val="Commentaire Car"/>
    <w:basedOn w:val="Policepardfaut2"/>
    <w:qFormat/>
  </w:style>
  <w:style w:type="character" w:customStyle="1" w:styleId="ObjetducommentaireCar">
    <w:name w:val="Objet du commentaire Car"/>
    <w:qFormat/>
    <w:rPr>
      <w:b/>
      <w:bCs/>
      <w:sz w:val="20"/>
      <w:szCs w:val="20"/>
    </w:rPr>
  </w:style>
  <w:style w:type="character" w:customStyle="1" w:styleId="Titre1Car">
    <w:name w:val="Titre 1 Car"/>
    <w:qFormat/>
    <w:rPr>
      <w:rFonts w:ascii="Calibri" w:eastAsia="MS Gothic" w:hAnsi="Calibri" w:cs="font41"/>
      <w:b/>
      <w:bCs/>
      <w:color w:val="345A8A"/>
      <w:sz w:val="32"/>
      <w:szCs w:val="32"/>
    </w:rPr>
  </w:style>
  <w:style w:type="character" w:customStyle="1" w:styleId="Rfrenceintense1">
    <w:name w:val="Référence intense1"/>
    <w:qFormat/>
    <w:rPr>
      <w:b/>
      <w:bCs/>
      <w:smallCaps/>
      <w:color w:val="C0504D"/>
      <w:u w:val="single"/>
    </w:rPr>
  </w:style>
  <w:style w:type="character" w:customStyle="1" w:styleId="TitreCar">
    <w:name w:val="Titre Car"/>
    <w:qFormat/>
    <w:rPr>
      <w:rFonts w:ascii="Calibri" w:eastAsia="MS Gothic" w:hAnsi="Calibri" w:cs="font41"/>
      <w:color w:val="17365D"/>
      <w:spacing w:val="5"/>
      <w:sz w:val="52"/>
      <w:szCs w:val="52"/>
    </w:rPr>
  </w:style>
  <w:style w:type="character" w:customStyle="1" w:styleId="Titre2Car">
    <w:name w:val="Titre 2 Car"/>
    <w:qFormat/>
    <w:rPr>
      <w:rFonts w:ascii="Calibri" w:eastAsia="MS Gothic" w:hAnsi="Calibri" w:cs="font41"/>
      <w:b/>
      <w:bCs/>
      <w:color w:val="4F81BD"/>
      <w:sz w:val="26"/>
      <w:szCs w:val="26"/>
    </w:rPr>
  </w:style>
  <w:style w:type="character" w:customStyle="1" w:styleId="Titre3Car">
    <w:name w:val="Titre 3 Car"/>
    <w:qFormat/>
    <w:rPr>
      <w:rFonts w:ascii="Calibri" w:eastAsia="MS Gothic" w:hAnsi="Calibri" w:cs="font41"/>
      <w:b/>
      <w:bCs/>
      <w:color w:val="4F81BD"/>
    </w:rPr>
  </w:style>
  <w:style w:type="character" w:customStyle="1" w:styleId="Titre4Car">
    <w:name w:val="Titre 4 Car"/>
    <w:qFormat/>
    <w:rPr>
      <w:rFonts w:ascii="Calibri" w:eastAsia="MS Gothic" w:hAnsi="Calibri" w:cs="font41"/>
      <w:b/>
      <w:bCs/>
      <w:i/>
      <w:iCs/>
      <w:color w:val="4F81BD"/>
    </w:rPr>
  </w:style>
  <w:style w:type="character" w:customStyle="1" w:styleId="Titre5Car">
    <w:name w:val="Titre 5 Car"/>
    <w:qFormat/>
    <w:rPr>
      <w:rFonts w:ascii="Calibri" w:eastAsia="MS Gothic" w:hAnsi="Calibri" w:cs="font41"/>
      <w:color w:val="243F60"/>
    </w:rPr>
  </w:style>
  <w:style w:type="character" w:customStyle="1" w:styleId="Titre6Car">
    <w:name w:val="Titre 6 Car"/>
    <w:qFormat/>
    <w:rPr>
      <w:rFonts w:ascii="Calibri" w:eastAsia="MS Gothic" w:hAnsi="Calibri" w:cs="font41"/>
      <w:i/>
      <w:iCs/>
      <w:color w:val="243F60"/>
    </w:rPr>
  </w:style>
  <w:style w:type="character" w:customStyle="1" w:styleId="Titre7Car">
    <w:name w:val="Titre 7 Car"/>
    <w:qFormat/>
    <w:rPr>
      <w:rFonts w:ascii="Calibri" w:eastAsia="MS Gothic" w:hAnsi="Calibri" w:cs="font41"/>
      <w:i/>
      <w:iCs/>
      <w:color w:val="404040"/>
    </w:rPr>
  </w:style>
  <w:style w:type="character" w:customStyle="1" w:styleId="Titre8Car">
    <w:name w:val="Titre 8 Car"/>
    <w:qFormat/>
    <w:rPr>
      <w:rFonts w:ascii="Calibri" w:eastAsia="MS Gothic" w:hAnsi="Calibri" w:cs="font41"/>
      <w:color w:val="404040"/>
      <w:sz w:val="20"/>
      <w:szCs w:val="20"/>
    </w:rPr>
  </w:style>
  <w:style w:type="character" w:customStyle="1" w:styleId="Titre9Car">
    <w:name w:val="Titre 9 Car"/>
    <w:qFormat/>
    <w:rPr>
      <w:rFonts w:ascii="Calibri" w:eastAsia="MS Gothic" w:hAnsi="Calibri" w:cs="font41"/>
      <w:i/>
      <w:iCs/>
      <w:color w:val="404040"/>
      <w:sz w:val="20"/>
      <w:szCs w:val="20"/>
    </w:rPr>
  </w:style>
  <w:style w:type="character" w:customStyle="1" w:styleId="ListLabel1">
    <w:name w:val="ListLabel 1"/>
    <w:qFormat/>
    <w:rPr>
      <w:rFonts w:cs="Courier New"/>
    </w:rPr>
  </w:style>
  <w:style w:type="character" w:customStyle="1" w:styleId="ListLabel2">
    <w:name w:val="ListLabel 2"/>
    <w:qFormat/>
    <w:rPr>
      <w:rFonts w:cs="OpenSymbol"/>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Caractresdenotedebasdepage">
    <w:name w:val="Caractères de note de bas de page"/>
    <w:qFormat/>
  </w:style>
  <w:style w:type="character" w:customStyle="1" w:styleId="Marquenotebasdepage1">
    <w:name w:val="Marque note bas de page1"/>
    <w:qFormat/>
    <w:rPr>
      <w:vertAlign w:val="superscript"/>
    </w:rPr>
  </w:style>
  <w:style w:type="character" w:customStyle="1" w:styleId="Caractresdenotedefin">
    <w:name w:val="Caractères de note de fin"/>
    <w:qFormat/>
  </w:style>
  <w:style w:type="character" w:customStyle="1" w:styleId="Marquedenotedefin1">
    <w:name w:val="Marque de note de fin1"/>
    <w:qFormat/>
    <w:rPr>
      <w:vertAlign w:val="superscript"/>
    </w:rPr>
  </w:style>
  <w:style w:type="character" w:customStyle="1" w:styleId="Puces">
    <w:name w:val="Puces"/>
    <w:qFormat/>
    <w:rPr>
      <w:rFonts w:ascii="OpenSymbol" w:eastAsia="OpenSymbol" w:hAnsi="OpenSymbol" w:cs="OpenSymbol"/>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OpenSymbol"/>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NotedebasdepageCar">
    <w:name w:val="Note de bas de page Car"/>
    <w:qFormat/>
    <w:rPr>
      <w:rFonts w:ascii="Cambria" w:eastAsia="MS Mincho" w:hAnsi="Cambria" w:cs="Cambria"/>
      <w:color w:val="00000A"/>
      <w:sz w:val="24"/>
    </w:rPr>
  </w:style>
  <w:style w:type="character" w:customStyle="1" w:styleId="Marquenotebasdepage2">
    <w:name w:val="Marque note bas de page2"/>
    <w:qFormat/>
    <w:rPr>
      <w:vertAlign w:val="superscript"/>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b/>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b/>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b/>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PieddepageCar">
    <w:name w:val="Pied de page Car"/>
    <w:qFormat/>
    <w:rPr>
      <w:rFonts w:ascii="Cambria" w:eastAsia="MS Mincho" w:hAnsi="Cambria" w:cs="Cambria"/>
      <w:color w:val="00000A"/>
      <w:sz w:val="24"/>
    </w:rPr>
  </w:style>
  <w:style w:type="character" w:customStyle="1" w:styleId="Numrodepage1">
    <w:name w:val="Numéro de page1"/>
    <w:basedOn w:val="Policepardfaut2"/>
    <w:qFormat/>
  </w:style>
  <w:style w:type="character" w:customStyle="1" w:styleId="ListLabel35">
    <w:name w:val="ListLabel 35"/>
    <w:qFormat/>
    <w:rPr>
      <w:rFonts w:cs="Symbol"/>
      <w:b/>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Symbol"/>
      <w:b/>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Symbol"/>
      <w:b/>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Symbol"/>
      <w:b/>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Symbol"/>
      <w:b/>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Symbol"/>
      <w:b/>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Symbol"/>
      <w:b/>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TextedebullesCar1">
    <w:name w:val="Texte de bulles Car1"/>
    <w:qFormat/>
    <w:rPr>
      <w:rFonts w:ascii="Lucida Grande" w:eastAsia="MS Mincho" w:hAnsi="Lucida Grande" w:cs="Lucida Grande"/>
      <w:color w:val="00000A"/>
      <w:sz w:val="18"/>
      <w:szCs w:val="18"/>
    </w:rPr>
  </w:style>
  <w:style w:type="character" w:styleId="Numrodepage">
    <w:name w:val="page number"/>
    <w:qFormat/>
  </w:style>
  <w:style w:type="character" w:customStyle="1" w:styleId="CommentaireCar1">
    <w:name w:val="Commentaire Car1"/>
    <w:qFormat/>
    <w:rPr>
      <w:rFonts w:ascii="Cambria" w:eastAsia="MS Mincho" w:hAnsi="Cambria" w:cs="font41"/>
      <w:color w:val="00000A"/>
      <w:sz w:val="24"/>
      <w:szCs w:val="24"/>
    </w:rPr>
  </w:style>
  <w:style w:type="character" w:customStyle="1" w:styleId="ObjetducommentaireCar1">
    <w:name w:val="Objet du commentaire Car1"/>
    <w:qFormat/>
    <w:rPr>
      <w:rFonts w:ascii="Cambria" w:eastAsia="MS Mincho" w:hAnsi="Cambria" w:cs="font41"/>
      <w:b/>
      <w:bCs/>
      <w:color w:val="00000A"/>
      <w:sz w:val="24"/>
      <w:szCs w:val="24"/>
    </w:rPr>
  </w:style>
  <w:style w:type="character" w:styleId="Appelnotedebasdep">
    <w:name w:val="footnote reference"/>
    <w:qFormat/>
    <w:rPr>
      <w:vertAlign w:val="superscript"/>
    </w:rPr>
  </w:style>
  <w:style w:type="character" w:styleId="Appeldenotedefin">
    <w:name w:val="endnote reference"/>
    <w:qFormat/>
    <w:rPr>
      <w:vertAlign w:val="superscript"/>
    </w:rPr>
  </w:style>
  <w:style w:type="character" w:styleId="Marquedecommentaire">
    <w:name w:val="annotation reference"/>
    <w:basedOn w:val="Policepardfaut"/>
    <w:uiPriority w:val="99"/>
    <w:semiHidden/>
    <w:unhideWhenUsed/>
    <w:qFormat/>
    <w:rsid w:val="002902A1"/>
    <w:rPr>
      <w:sz w:val="18"/>
      <w:szCs w:val="18"/>
    </w:rPr>
  </w:style>
  <w:style w:type="character" w:customStyle="1" w:styleId="CommentaireCar2">
    <w:name w:val="Commentaire Car2"/>
    <w:basedOn w:val="Policepardfaut"/>
    <w:link w:val="Commentaire"/>
    <w:uiPriority w:val="99"/>
    <w:semiHidden/>
    <w:qFormat/>
    <w:rsid w:val="002902A1"/>
    <w:rPr>
      <w:rFonts w:ascii="Cambria" w:eastAsia="MS Mincho" w:hAnsi="Cambria" w:cs="font41"/>
      <w:color w:val="00000A"/>
      <w:sz w:val="24"/>
      <w:szCs w:val="24"/>
      <w:lang w:eastAsia="zh-CN"/>
    </w:rPr>
  </w:style>
  <w:style w:type="character" w:customStyle="1" w:styleId="ListLabel63">
    <w:name w:val="ListLabel 63"/>
    <w:qFormat/>
    <w:rPr>
      <w:rFonts w:cs="Symbol"/>
      <w:b/>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color w:val="00000A"/>
      <w:shd w:val="clear" w:color="auto" w:fill="FFFF00"/>
    </w:rPr>
  </w:style>
  <w:style w:type="character" w:customStyle="1" w:styleId="ListLabel67">
    <w:name w:val="ListLabel 67"/>
    <w:qFormat/>
    <w:rPr>
      <w:rFonts w:eastAsia="MS Mincho" w:cs="Cambria"/>
      <w:b/>
      <w:bCs/>
    </w:rPr>
  </w:style>
  <w:style w:type="character" w:customStyle="1" w:styleId="ListLabel68">
    <w:name w:val="ListLabel 68"/>
    <w:qFormat/>
    <w:rPr>
      <w:rFonts w:cs="Symbol"/>
      <w:shd w:val="clear" w:color="auto" w:fill="FFFF00"/>
    </w:rPr>
  </w:style>
  <w:style w:type="character" w:customStyle="1" w:styleId="ListLabel69">
    <w:name w:val="ListLabel 69"/>
    <w:qFormat/>
    <w:rPr>
      <w:rFonts w:cs="Symbol"/>
      <w:shd w:val="clear" w:color="auto" w:fill="FFFFFF"/>
    </w:rPr>
  </w:style>
  <w:style w:type="character" w:customStyle="1" w:styleId="ListLabel70">
    <w:name w:val="ListLabel 70"/>
    <w:qFormat/>
    <w:rPr>
      <w:rFonts w:cs="Symbol"/>
    </w:rPr>
  </w:style>
  <w:style w:type="character" w:customStyle="1" w:styleId="ListLabel71">
    <w:name w:val="ListLabel 71"/>
    <w:qFormat/>
    <w:rPr>
      <w:rFonts w:cs="Symbol"/>
      <w:shd w:val="clear" w:color="auto" w:fill="66FFFF"/>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ListLabel72">
    <w:name w:val="ListLabel 72"/>
    <w:qFormat/>
    <w:rPr>
      <w:rFonts w:cs="Symbol"/>
      <w:b/>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eastAsia="MS Mincho" w:cs="Cambria"/>
      <w:b/>
      <w:bCs/>
    </w:rPr>
  </w:style>
  <w:style w:type="character" w:customStyle="1" w:styleId="ListLabel76">
    <w:name w:val="ListLabel 76"/>
    <w:qFormat/>
    <w:rPr>
      <w:rFonts w:cs="Symbol"/>
      <w:shd w:val="clear" w:color="auto" w:fill="FFFFFF"/>
    </w:rPr>
  </w:style>
  <w:style w:type="character" w:customStyle="1" w:styleId="ListLabel77">
    <w:name w:val="ListLabel 77"/>
    <w:qFormat/>
    <w:rPr>
      <w:rFonts w:ascii="Cambria" w:hAnsi="Cambria" w:cs="Symbol"/>
      <w:sz w:val="24"/>
    </w:rPr>
  </w:style>
  <w:style w:type="character" w:customStyle="1" w:styleId="ListLabel78">
    <w:name w:val="ListLabel 78"/>
    <w:qFormat/>
    <w:rPr>
      <w:rFonts w:cs="Symbol"/>
      <w:b/>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eastAsia="MS Mincho" w:cs="Cambria"/>
      <w:b/>
      <w:bCs/>
    </w:rPr>
  </w:style>
  <w:style w:type="character" w:customStyle="1" w:styleId="ListLabel82">
    <w:name w:val="ListLabel 82"/>
    <w:qFormat/>
    <w:rPr>
      <w:rFonts w:cs="Symbol"/>
      <w:shd w:val="clear" w:color="auto" w:fill="FFFFFF"/>
    </w:rPr>
  </w:style>
  <w:style w:type="character" w:customStyle="1" w:styleId="ListLabel83">
    <w:name w:val="ListLabel 83"/>
    <w:qFormat/>
    <w:rPr>
      <w:rFonts w:ascii="Cambria" w:hAnsi="Cambria" w:cs="Symbol"/>
      <w:sz w:val="24"/>
    </w:rPr>
  </w:style>
  <w:style w:type="character" w:customStyle="1" w:styleId="En-tteCar">
    <w:name w:val="En-tête Car"/>
    <w:basedOn w:val="Policepardfaut"/>
    <w:uiPriority w:val="99"/>
    <w:qFormat/>
    <w:rsid w:val="00171151"/>
    <w:rPr>
      <w:rFonts w:ascii="Cambria" w:eastAsia="MS Mincho" w:hAnsi="Cambria" w:cs="font41"/>
      <w:color w:val="00000A"/>
      <w:sz w:val="24"/>
      <w:szCs w:val="24"/>
      <w:lang w:eastAsia="zh-CN"/>
    </w:rPr>
  </w:style>
  <w:style w:type="character" w:customStyle="1" w:styleId="ListLabel84">
    <w:name w:val="ListLabel 84"/>
    <w:qFormat/>
    <w:rPr>
      <w:rFonts w:cs="Symbol"/>
      <w:b/>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eastAsia="MS Mincho" w:cs="Cambria"/>
      <w:b/>
      <w:bCs/>
    </w:rPr>
  </w:style>
  <w:style w:type="character" w:customStyle="1" w:styleId="ListLabel88">
    <w:name w:val="ListLabel 88"/>
    <w:qFormat/>
    <w:rPr>
      <w:rFonts w:cs="Symbol"/>
      <w:sz w:val="24"/>
      <w:shd w:val="clear" w:color="auto" w:fill="FFFFFF"/>
    </w:rPr>
  </w:style>
  <w:style w:type="character" w:customStyle="1" w:styleId="ListLabel89">
    <w:name w:val="ListLabel 89"/>
    <w:qFormat/>
    <w:rPr>
      <w:rFonts w:ascii="Cambria" w:hAnsi="Cambria" w:cs="Symbol"/>
      <w:sz w:val="24"/>
    </w:rPr>
  </w:style>
  <w:style w:type="character" w:customStyle="1" w:styleId="ListLabel90">
    <w:name w:val="ListLabel 90"/>
    <w:qFormat/>
    <w:rPr>
      <w:rFonts w:ascii="Cambria" w:hAnsi="Cambria" w:cs="Symbol"/>
      <w:b/>
      <w:sz w:val="24"/>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eastAsia="MS Mincho" w:cs="Cambria"/>
      <w:b/>
      <w:bCs/>
    </w:rPr>
  </w:style>
  <w:style w:type="character" w:customStyle="1" w:styleId="ListLabel94">
    <w:name w:val="ListLabel 94"/>
    <w:qFormat/>
    <w:rPr>
      <w:rFonts w:ascii="Cambria" w:hAnsi="Cambria" w:cs="Symbol"/>
      <w:sz w:val="24"/>
      <w:shd w:val="clear" w:color="auto" w:fill="FFFFFF"/>
    </w:rPr>
  </w:style>
  <w:style w:type="character" w:customStyle="1" w:styleId="ListLabel95">
    <w:name w:val="ListLabel 95"/>
    <w:qFormat/>
    <w:rPr>
      <w:rFonts w:ascii="Cambria" w:hAnsi="Cambria" w:cs="Symbol"/>
      <w:sz w:val="24"/>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widowControl w:val="0"/>
      <w:jc w:val="center"/>
    </w:pPr>
    <w:rPr>
      <w:b/>
      <w:bCs/>
      <w:sz w:val="56"/>
      <w:szCs w:val="56"/>
    </w:rPr>
  </w:style>
  <w:style w:type="paragraph" w:customStyle="1" w:styleId="Titre20">
    <w:name w:val="Titre2"/>
    <w:basedOn w:val="Normal"/>
    <w:next w:val="Normal"/>
    <w:qFormat/>
    <w:pPr>
      <w:pBdr>
        <w:bottom w:val="single" w:sz="8" w:space="4" w:color="4F81BD"/>
      </w:pBdr>
      <w:spacing w:after="300"/>
      <w:contextualSpacing/>
    </w:pPr>
    <w:rPr>
      <w:rFonts w:ascii="Calibri" w:eastAsia="MS Gothic" w:hAnsi="Calibri"/>
      <w:color w:val="17365D"/>
      <w:spacing w:val="5"/>
      <w:sz w:val="52"/>
      <w:szCs w:val="52"/>
    </w:rPr>
  </w:style>
  <w:style w:type="paragraph" w:customStyle="1" w:styleId="Titre10">
    <w:name w:val="Titre1"/>
    <w:basedOn w:val="Normal"/>
    <w:qFormat/>
    <w:pPr>
      <w:keepNext/>
      <w:spacing w:before="240" w:after="120"/>
    </w:pPr>
    <w:rPr>
      <w:rFonts w:ascii="Liberation Sans" w:eastAsia="Microsoft YaHei" w:hAnsi="Liberation Sans" w:cs="Mangal"/>
      <w:sz w:val="28"/>
      <w:szCs w:val="28"/>
    </w:rPr>
  </w:style>
  <w:style w:type="paragraph" w:customStyle="1" w:styleId="Lgende1">
    <w:name w:val="Légende1"/>
    <w:basedOn w:val="Normal"/>
    <w:qFormat/>
    <w:pPr>
      <w:suppressLineNumbers/>
      <w:spacing w:before="120" w:after="120"/>
    </w:pPr>
    <w:rPr>
      <w:rFonts w:cs="Mangal"/>
      <w:i/>
      <w:iCs/>
    </w:rPr>
  </w:style>
  <w:style w:type="paragraph" w:customStyle="1" w:styleId="Textedebulles1">
    <w:name w:val="Texte de bulles1"/>
    <w:basedOn w:val="Normal"/>
    <w:qFormat/>
    <w:rPr>
      <w:rFonts w:ascii="Lucida Grande" w:hAnsi="Lucida Grande" w:cs="Lucida Grande"/>
      <w:sz w:val="18"/>
      <w:szCs w:val="18"/>
    </w:rPr>
  </w:style>
  <w:style w:type="paragraph" w:customStyle="1" w:styleId="Commentaire1">
    <w:name w:val="Commentaire1"/>
    <w:basedOn w:val="Normal"/>
    <w:qFormat/>
  </w:style>
  <w:style w:type="paragraph" w:customStyle="1" w:styleId="Objetducommentaire1">
    <w:name w:val="Objet du commentaire1"/>
    <w:basedOn w:val="Commentaire1"/>
    <w:qFormat/>
    <w:rPr>
      <w:b/>
      <w:bCs/>
      <w:sz w:val="20"/>
      <w:szCs w:val="20"/>
    </w:rPr>
  </w:style>
  <w:style w:type="paragraph" w:customStyle="1" w:styleId="Paragraphedeliste1">
    <w:name w:val="Paragraphe de liste1"/>
    <w:basedOn w:val="Normal"/>
    <w:qFormat/>
    <w:pPr>
      <w:spacing w:after="200" w:line="276" w:lineRule="auto"/>
      <w:ind w:left="720"/>
    </w:pPr>
    <w:rPr>
      <w:rFonts w:ascii="Calibri" w:eastAsia="Lucida Sans Unicode" w:hAnsi="Calibri" w:cs="font319"/>
      <w:sz w:val="22"/>
      <w:szCs w:val="22"/>
    </w:rPr>
  </w:style>
  <w:style w:type="paragraph" w:customStyle="1" w:styleId="Tabledesmatiresniveau1">
    <w:name w:val="Table des matières niveau 1"/>
    <w:basedOn w:val="Normal"/>
    <w:next w:val="Normal"/>
    <w:autoRedefine/>
    <w:uiPriority w:val="39"/>
    <w:unhideWhenUsed/>
    <w:rsid w:val="00B779F1"/>
    <w:pPr>
      <w:spacing w:after="100"/>
    </w:pPr>
  </w:style>
  <w:style w:type="paragraph" w:customStyle="1" w:styleId="Tabledesmatiresniveau2">
    <w:name w:val="Table des matières niveau 2"/>
    <w:basedOn w:val="Normal"/>
    <w:next w:val="Normal"/>
    <w:autoRedefine/>
    <w:uiPriority w:val="39"/>
    <w:unhideWhenUsed/>
    <w:rsid w:val="00B779F1"/>
    <w:pPr>
      <w:spacing w:after="100"/>
      <w:ind w:left="240"/>
    </w:pPr>
  </w:style>
  <w:style w:type="paragraph" w:customStyle="1" w:styleId="Tabledesmatiresniveau3">
    <w:name w:val="Table des matières niveau 3"/>
    <w:basedOn w:val="Normal"/>
    <w:next w:val="Normal"/>
    <w:rPr>
      <w:smallCaps/>
      <w:sz w:val="22"/>
      <w:szCs w:val="22"/>
    </w:rPr>
  </w:style>
  <w:style w:type="paragraph" w:customStyle="1" w:styleId="Tabledesmatiresniveau4">
    <w:name w:val="Table des matières niveau 4"/>
    <w:basedOn w:val="Normal"/>
    <w:next w:val="Normal"/>
    <w:rPr>
      <w:sz w:val="22"/>
      <w:szCs w:val="22"/>
    </w:rPr>
  </w:style>
  <w:style w:type="paragraph" w:customStyle="1" w:styleId="Tabledesmatiresniveau5">
    <w:name w:val="Table des matières niveau 5"/>
    <w:basedOn w:val="Normal"/>
    <w:next w:val="Normal"/>
    <w:rPr>
      <w:sz w:val="22"/>
      <w:szCs w:val="22"/>
    </w:rPr>
  </w:style>
  <w:style w:type="paragraph" w:customStyle="1" w:styleId="Tabledesmatiresniveau6">
    <w:name w:val="Table des matières niveau 6"/>
    <w:basedOn w:val="Normal"/>
    <w:next w:val="Normal"/>
    <w:rPr>
      <w:sz w:val="22"/>
      <w:szCs w:val="22"/>
    </w:rPr>
  </w:style>
  <w:style w:type="paragraph" w:customStyle="1" w:styleId="Tabledesmatiresniveau7">
    <w:name w:val="Table des matières niveau 7"/>
    <w:basedOn w:val="Normal"/>
    <w:next w:val="Normal"/>
    <w:rPr>
      <w:sz w:val="22"/>
      <w:szCs w:val="22"/>
    </w:rPr>
  </w:style>
  <w:style w:type="paragraph" w:customStyle="1" w:styleId="Tabledesmatiresniveau8">
    <w:name w:val="Table des matières niveau 8"/>
    <w:basedOn w:val="Normal"/>
    <w:next w:val="Normal"/>
    <w:rPr>
      <w:sz w:val="22"/>
      <w:szCs w:val="22"/>
    </w:rPr>
  </w:style>
  <w:style w:type="paragraph" w:customStyle="1" w:styleId="Tabledesmatiresniveau9">
    <w:name w:val="Table des matières niveau 9"/>
    <w:basedOn w:val="Normal"/>
    <w:next w:val="Normal"/>
    <w:rPr>
      <w:sz w:val="22"/>
      <w:szCs w:val="22"/>
    </w:rPr>
  </w:style>
  <w:style w:type="paragraph" w:customStyle="1" w:styleId="Contenudecadre">
    <w:name w:val="Contenu de cadre"/>
    <w:basedOn w:val="Normal"/>
    <w:qFormat/>
  </w:style>
  <w:style w:type="paragraph" w:customStyle="1" w:styleId="Quotations">
    <w:name w:val="Quotations"/>
    <w:basedOn w:val="Normal"/>
    <w:qFormat/>
  </w:style>
  <w:style w:type="paragraph" w:styleId="Sous-titre">
    <w:name w:val="Subtitle"/>
    <w:basedOn w:val="Titre20"/>
    <w:qFormat/>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customStyle="1" w:styleId="Rvision1">
    <w:name w:val="Révision1"/>
    <w:qFormat/>
    <w:pPr>
      <w:suppressAutoHyphens/>
    </w:pPr>
    <w:rPr>
      <w:rFonts w:ascii="Cambria" w:eastAsia="MS Mincho" w:hAnsi="Cambria" w:cs="font41"/>
      <w:color w:val="00000A"/>
      <w:sz w:val="24"/>
      <w:szCs w:val="24"/>
      <w:lang w:eastAsia="zh-CN"/>
    </w:rPr>
  </w:style>
  <w:style w:type="paragraph" w:customStyle="1" w:styleId="Notedebasdepage1">
    <w:name w:val="Note de bas de page1"/>
    <w:basedOn w:val="Normal"/>
    <w:qFormat/>
  </w:style>
  <w:style w:type="paragraph" w:styleId="Pieddepage">
    <w:name w:val="footer"/>
    <w:basedOn w:val="Normal"/>
    <w:pPr>
      <w:tabs>
        <w:tab w:val="center" w:pos="4536"/>
        <w:tab w:val="right" w:pos="9072"/>
      </w:tabs>
    </w:pPr>
  </w:style>
  <w:style w:type="paragraph" w:styleId="Notedebasdepage">
    <w:name w:val="footnote text"/>
    <w:basedOn w:val="Normal"/>
  </w:style>
  <w:style w:type="paragraph" w:styleId="Textedebulles">
    <w:name w:val="Balloon Text"/>
    <w:basedOn w:val="Normal"/>
    <w:qFormat/>
    <w:rPr>
      <w:rFonts w:ascii="Lucida Grande" w:hAnsi="Lucida Grande" w:cs="Lucida Grande"/>
      <w:sz w:val="18"/>
      <w:szCs w:val="18"/>
    </w:rPr>
  </w:style>
  <w:style w:type="paragraph" w:styleId="Paragraphedeliste">
    <w:name w:val="List Paragraph"/>
    <w:basedOn w:val="Normal"/>
    <w:qFormat/>
    <w:pPr>
      <w:suppressAutoHyphens w:val="0"/>
      <w:ind w:left="720"/>
    </w:pPr>
    <w:rPr>
      <w:rFonts w:ascii="Calibri" w:eastAsia="Calibri" w:hAnsi="Calibri" w:cs="Times New Roman"/>
      <w:sz w:val="22"/>
      <w:szCs w:val="22"/>
    </w:rPr>
  </w:style>
  <w:style w:type="paragraph" w:styleId="Objetducommentaire">
    <w:name w:val="annotation subject"/>
    <w:basedOn w:val="Commentaire1"/>
    <w:qFormat/>
    <w:rPr>
      <w:b/>
      <w:bCs/>
      <w:sz w:val="20"/>
      <w:szCs w:val="20"/>
    </w:rPr>
  </w:style>
  <w:style w:type="paragraph" w:styleId="Commentaire">
    <w:name w:val="annotation text"/>
    <w:basedOn w:val="Normal"/>
    <w:link w:val="CommentaireCar2"/>
    <w:uiPriority w:val="99"/>
    <w:semiHidden/>
    <w:unhideWhenUsed/>
    <w:qFormat/>
    <w:rsid w:val="002902A1"/>
  </w:style>
  <w:style w:type="paragraph" w:styleId="Rvision">
    <w:name w:val="Revision"/>
    <w:uiPriority w:val="99"/>
    <w:semiHidden/>
    <w:qFormat/>
    <w:rsid w:val="00310B7A"/>
    <w:pPr>
      <w:suppressAutoHyphens/>
    </w:pPr>
    <w:rPr>
      <w:rFonts w:ascii="Cambria" w:eastAsia="MS Mincho" w:hAnsi="Cambria" w:cs="font41"/>
      <w:color w:val="00000A"/>
      <w:sz w:val="24"/>
      <w:szCs w:val="24"/>
      <w:lang w:eastAsia="zh-CN"/>
    </w:rPr>
  </w:style>
  <w:style w:type="paragraph" w:styleId="En-tte">
    <w:name w:val="header"/>
    <w:basedOn w:val="Normal"/>
    <w:uiPriority w:val="99"/>
    <w:unhideWhenUsed/>
    <w:rsid w:val="00171151"/>
    <w:pPr>
      <w:tabs>
        <w:tab w:val="center" w:pos="4536"/>
        <w:tab w:val="right" w:pos="9072"/>
      </w:tabs>
    </w:pPr>
  </w:style>
  <w:style w:type="paragraph" w:styleId="TM1">
    <w:name w:val="toc 1"/>
    <w:basedOn w:val="Normal"/>
    <w:next w:val="Normal"/>
    <w:autoRedefine/>
    <w:uiPriority w:val="39"/>
    <w:unhideWhenUsed/>
    <w:rsid w:val="001E2AD2"/>
    <w:pPr>
      <w:spacing w:after="100"/>
    </w:pPr>
  </w:style>
  <w:style w:type="paragraph" w:styleId="TM2">
    <w:name w:val="toc 2"/>
    <w:basedOn w:val="Normal"/>
    <w:next w:val="Normal"/>
    <w:autoRedefine/>
    <w:uiPriority w:val="39"/>
    <w:unhideWhenUsed/>
    <w:rsid w:val="001E2AD2"/>
    <w:pPr>
      <w:spacing w:after="100"/>
      <w:ind w:left="240"/>
    </w:pPr>
  </w:style>
  <w:style w:type="character" w:styleId="Lienhypertexte">
    <w:name w:val="Hyperlink"/>
    <w:basedOn w:val="Policepardfaut"/>
    <w:uiPriority w:val="99"/>
    <w:unhideWhenUsed/>
    <w:rsid w:val="001E2A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fromageabondanc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26C3-0694-C84E-9F37-B22D8C98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5189</Words>
  <Characters>28545</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SIFA</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 VINDRET</dc:creator>
  <cp:lastModifiedBy>JOEL VINDRET</cp:lastModifiedBy>
  <cp:revision>4</cp:revision>
  <cp:lastPrinted>2017-03-15T09:35:00Z</cp:lastPrinted>
  <dcterms:created xsi:type="dcterms:W3CDTF">2019-01-25T09:26:00Z</dcterms:created>
  <dcterms:modified xsi:type="dcterms:W3CDTF">2019-02-18T15:00:00Z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SIFA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