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436" w:rsidRDefault="00044436" w:rsidP="00044436">
      <w:pPr>
        <w:pStyle w:val="western"/>
        <w:ind w:left="0" w:firstLine="0"/>
        <w:jc w:val="left"/>
        <w:rPr>
          <w:sz w:val="24"/>
          <w:szCs w:val="24"/>
        </w:rPr>
      </w:pPr>
    </w:p>
    <w:p w:rsidR="008C7EEE" w:rsidRDefault="008C7EEE" w:rsidP="00996B83">
      <w:pPr>
        <w:pStyle w:val="western"/>
        <w:ind w:left="0" w:firstLine="0"/>
        <w:jc w:val="left"/>
        <w:rPr>
          <w:b/>
          <w:sz w:val="28"/>
          <w:szCs w:val="28"/>
        </w:rPr>
      </w:pPr>
      <w:r>
        <w:rPr>
          <w:b/>
          <w:noProof/>
          <w:sz w:val="28"/>
          <w:szCs w:val="28"/>
        </w:rPr>
        <w:drawing>
          <wp:inline distT="0" distB="0" distL="0" distR="0" wp14:anchorId="595F27EE" wp14:editId="328BCBC6">
            <wp:extent cx="2334895" cy="1493520"/>
            <wp:effectExtent l="0" t="0" r="825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34895" cy="1493520"/>
                    </a:xfrm>
                    <a:prstGeom prst="rect">
                      <a:avLst/>
                    </a:prstGeom>
                    <a:noFill/>
                  </pic:spPr>
                </pic:pic>
              </a:graphicData>
            </a:graphic>
          </wp:inline>
        </w:drawing>
      </w:r>
      <w:bookmarkStart w:id="0" w:name="_GoBack"/>
      <w:bookmarkEnd w:id="0"/>
    </w:p>
    <w:p w:rsidR="008C7EEE" w:rsidRPr="008C7EEE" w:rsidRDefault="008C7EEE" w:rsidP="00044436">
      <w:pPr>
        <w:pStyle w:val="western"/>
        <w:ind w:left="0" w:firstLine="0"/>
        <w:jc w:val="left"/>
        <w:rPr>
          <w:b/>
          <w:sz w:val="28"/>
          <w:szCs w:val="28"/>
        </w:rPr>
      </w:pPr>
      <w:r>
        <w:rPr>
          <w:b/>
          <w:sz w:val="28"/>
          <w:szCs w:val="28"/>
        </w:rPr>
        <w:t xml:space="preserve">Décision du </w:t>
      </w:r>
      <w:r w:rsidR="00996B83" w:rsidRPr="00996B83">
        <w:rPr>
          <w:b/>
          <w:sz w:val="28"/>
          <w:szCs w:val="28"/>
        </w:rPr>
        <w:t>19 août 2022</w:t>
      </w:r>
      <w:r>
        <w:rPr>
          <w:b/>
          <w:sz w:val="28"/>
          <w:szCs w:val="28"/>
        </w:rPr>
        <w:t xml:space="preserve"> </w:t>
      </w:r>
      <w:r w:rsidRPr="008C7EEE">
        <w:rPr>
          <w:b/>
          <w:sz w:val="28"/>
          <w:szCs w:val="28"/>
        </w:rPr>
        <w:t>relative à la désignation d'un pilote du processus technique d'évaluation des laboratoires reconnus pour les analyses relatives au paiement du lait de brebis en fonction des critères sanitaires</w:t>
      </w:r>
    </w:p>
    <w:p w:rsidR="008C7EEE" w:rsidRDefault="008C7EEE" w:rsidP="00044436">
      <w:pPr>
        <w:pStyle w:val="western"/>
        <w:ind w:left="0" w:firstLine="0"/>
        <w:jc w:val="left"/>
        <w:rPr>
          <w:sz w:val="20"/>
          <w:szCs w:val="20"/>
        </w:rPr>
      </w:pPr>
    </w:p>
    <w:p w:rsidR="00044436" w:rsidRPr="008C7EEE" w:rsidRDefault="00044436" w:rsidP="00044436">
      <w:pPr>
        <w:pStyle w:val="western"/>
        <w:ind w:left="0" w:firstLine="0"/>
        <w:jc w:val="left"/>
        <w:rPr>
          <w:sz w:val="20"/>
          <w:szCs w:val="20"/>
        </w:rPr>
      </w:pPr>
      <w:r w:rsidRPr="008C7EEE">
        <w:rPr>
          <w:sz w:val="20"/>
          <w:szCs w:val="20"/>
        </w:rPr>
        <w:t>Le ministre de l’agriculture et de l'alimentation,</w:t>
      </w:r>
    </w:p>
    <w:p w:rsidR="00044436" w:rsidRPr="008C7EEE" w:rsidRDefault="00044436" w:rsidP="00044436">
      <w:pPr>
        <w:pStyle w:val="western"/>
        <w:ind w:left="0" w:firstLine="0"/>
        <w:rPr>
          <w:sz w:val="20"/>
          <w:szCs w:val="20"/>
        </w:rPr>
      </w:pPr>
      <w:r w:rsidRPr="008C7EEE">
        <w:rPr>
          <w:sz w:val="20"/>
          <w:szCs w:val="20"/>
        </w:rPr>
        <w:t>Vu le code rural et de la pêche maritime, notamment les articles R. 202-28 et D. 654-29 et suivants ;</w:t>
      </w:r>
    </w:p>
    <w:p w:rsidR="00044436" w:rsidRPr="008C7EEE" w:rsidRDefault="00044436" w:rsidP="00044436">
      <w:pPr>
        <w:pStyle w:val="western"/>
        <w:ind w:left="0" w:firstLine="0"/>
        <w:rPr>
          <w:sz w:val="20"/>
          <w:szCs w:val="20"/>
        </w:rPr>
      </w:pPr>
      <w:r w:rsidRPr="008C7EEE">
        <w:rPr>
          <w:sz w:val="20"/>
          <w:szCs w:val="20"/>
        </w:rPr>
        <w:t>Vu l’arrêté du 9 novembre 2012 relatif aux modalités de paiement du lait de vache, de brebis ou de chèvre en fonction de sa composition et de sa qualité hygiénique et sanitaire ;</w:t>
      </w:r>
    </w:p>
    <w:p w:rsidR="00044436" w:rsidRPr="008C7EEE" w:rsidRDefault="00044436" w:rsidP="00044436">
      <w:pPr>
        <w:pStyle w:val="western"/>
        <w:ind w:left="0" w:firstLine="0"/>
        <w:rPr>
          <w:sz w:val="20"/>
          <w:szCs w:val="20"/>
        </w:rPr>
      </w:pPr>
      <w:r w:rsidRPr="008C7EEE">
        <w:rPr>
          <w:sz w:val="20"/>
          <w:szCs w:val="20"/>
        </w:rPr>
        <w:t>Vu l'arrêté du 29 mars 2019 fixant les conditions générales de reconnaissance des méthodes, des appareils et des laboratoires d’analyses en vue du paiement du lait de vache, de brebis ou de chèvre en fonction de sa composition et de sa qualité hygiénique et sanitaire ;</w:t>
      </w:r>
    </w:p>
    <w:p w:rsidR="00044436" w:rsidRPr="008C7EEE" w:rsidRDefault="00044436" w:rsidP="00044436">
      <w:pPr>
        <w:pStyle w:val="western"/>
        <w:ind w:left="0" w:firstLine="0"/>
        <w:rPr>
          <w:sz w:val="20"/>
          <w:szCs w:val="20"/>
        </w:rPr>
      </w:pPr>
      <w:r w:rsidRPr="008C7EEE">
        <w:rPr>
          <w:sz w:val="20"/>
          <w:szCs w:val="20"/>
        </w:rPr>
        <w:t xml:space="preserve">Vu la convention signée le </w:t>
      </w:r>
      <w:r w:rsidR="00967CFE" w:rsidRPr="008C7EEE">
        <w:rPr>
          <w:sz w:val="20"/>
          <w:szCs w:val="20"/>
        </w:rPr>
        <w:t>26 novembre 2021</w:t>
      </w:r>
      <w:r w:rsidRPr="008C7EEE">
        <w:rPr>
          <w:sz w:val="20"/>
          <w:szCs w:val="20"/>
        </w:rPr>
        <w:t xml:space="preserve"> entre </w:t>
      </w:r>
      <w:r w:rsidR="00967CFE" w:rsidRPr="008C7EEE">
        <w:rPr>
          <w:sz w:val="20"/>
          <w:szCs w:val="20"/>
        </w:rPr>
        <w:t>FBL</w:t>
      </w:r>
      <w:r w:rsidRPr="008C7EEE">
        <w:rPr>
          <w:sz w:val="20"/>
          <w:szCs w:val="20"/>
        </w:rPr>
        <w:t xml:space="preserve"> et le CNIEL ;</w:t>
      </w:r>
    </w:p>
    <w:p w:rsidR="00044436" w:rsidRPr="008C7EEE" w:rsidRDefault="00967CFE" w:rsidP="00044436">
      <w:pPr>
        <w:pStyle w:val="western"/>
        <w:ind w:left="0" w:firstLine="0"/>
        <w:rPr>
          <w:sz w:val="20"/>
          <w:szCs w:val="20"/>
        </w:rPr>
      </w:pPr>
      <w:r w:rsidRPr="008C7EEE">
        <w:rPr>
          <w:sz w:val="20"/>
          <w:szCs w:val="20"/>
        </w:rPr>
        <w:t>Vu la demande d</w:t>
      </w:r>
      <w:r w:rsidR="00DA164F" w:rsidRPr="008C7EEE">
        <w:rPr>
          <w:sz w:val="20"/>
          <w:szCs w:val="20"/>
        </w:rPr>
        <w:t>e FBL transmise par courrier du</w:t>
      </w:r>
      <w:r w:rsidR="00044436" w:rsidRPr="008C7EEE">
        <w:rPr>
          <w:sz w:val="20"/>
          <w:szCs w:val="20"/>
        </w:rPr>
        <w:t xml:space="preserve"> </w:t>
      </w:r>
      <w:r w:rsidRPr="008C7EEE">
        <w:rPr>
          <w:sz w:val="20"/>
          <w:szCs w:val="20"/>
        </w:rPr>
        <w:t>10 janvier</w:t>
      </w:r>
      <w:r w:rsidR="00044436" w:rsidRPr="008C7EEE">
        <w:rPr>
          <w:sz w:val="20"/>
          <w:szCs w:val="20"/>
        </w:rPr>
        <w:t xml:space="preserve"> 20</w:t>
      </w:r>
      <w:r w:rsidRPr="008C7EEE">
        <w:rPr>
          <w:sz w:val="20"/>
          <w:szCs w:val="20"/>
        </w:rPr>
        <w:t>22</w:t>
      </w:r>
      <w:r w:rsidR="00044436" w:rsidRPr="008C7EEE">
        <w:rPr>
          <w:sz w:val="20"/>
          <w:szCs w:val="20"/>
        </w:rPr>
        <w:t> ;</w:t>
      </w:r>
    </w:p>
    <w:p w:rsidR="00044436" w:rsidRPr="008C7EEE" w:rsidRDefault="00044436" w:rsidP="00044436">
      <w:pPr>
        <w:pStyle w:val="western"/>
        <w:ind w:left="0" w:firstLine="0"/>
        <w:rPr>
          <w:sz w:val="20"/>
          <w:szCs w:val="20"/>
        </w:rPr>
      </w:pPr>
    </w:p>
    <w:p w:rsidR="00044436" w:rsidRPr="008C7EEE" w:rsidRDefault="00044436" w:rsidP="00044436">
      <w:pPr>
        <w:pStyle w:val="western"/>
        <w:ind w:left="0" w:firstLine="0"/>
        <w:rPr>
          <w:sz w:val="20"/>
          <w:szCs w:val="20"/>
        </w:rPr>
      </w:pPr>
      <w:r w:rsidRPr="008C7EEE">
        <w:rPr>
          <w:sz w:val="20"/>
          <w:szCs w:val="20"/>
        </w:rPr>
        <w:t>Décide :</w:t>
      </w:r>
    </w:p>
    <w:p w:rsidR="00044436" w:rsidRPr="008C7EEE" w:rsidRDefault="00044436" w:rsidP="00044436">
      <w:pPr>
        <w:pStyle w:val="western"/>
        <w:ind w:left="0" w:firstLine="0"/>
        <w:rPr>
          <w:b/>
          <w:bCs/>
          <w:sz w:val="20"/>
          <w:szCs w:val="20"/>
        </w:rPr>
      </w:pPr>
    </w:p>
    <w:p w:rsidR="00044436" w:rsidRPr="008C7EEE" w:rsidRDefault="00044436" w:rsidP="00044436">
      <w:pPr>
        <w:pStyle w:val="western"/>
        <w:ind w:left="0" w:firstLine="0"/>
        <w:rPr>
          <w:sz w:val="20"/>
          <w:szCs w:val="20"/>
        </w:rPr>
      </w:pPr>
      <w:r w:rsidRPr="008C7EEE">
        <w:rPr>
          <w:b/>
          <w:bCs/>
          <w:sz w:val="20"/>
          <w:szCs w:val="20"/>
        </w:rPr>
        <w:t xml:space="preserve">Article 1er </w:t>
      </w:r>
    </w:p>
    <w:p w:rsidR="00044436" w:rsidRPr="008C7EEE" w:rsidRDefault="00053DFC" w:rsidP="00044436">
      <w:pPr>
        <w:pStyle w:val="western"/>
        <w:ind w:left="0" w:firstLine="0"/>
        <w:rPr>
          <w:sz w:val="20"/>
          <w:szCs w:val="20"/>
        </w:rPr>
      </w:pPr>
      <w:r>
        <w:rPr>
          <w:sz w:val="20"/>
          <w:szCs w:val="20"/>
        </w:rPr>
        <w:t>Le CNIEL (</w:t>
      </w:r>
      <w:r w:rsidRPr="00053DFC">
        <w:rPr>
          <w:sz w:val="20"/>
          <w:szCs w:val="20"/>
        </w:rPr>
        <w:t>Centre National Interprofessionnel de l'Economie Laitière</w:t>
      </w:r>
      <w:r>
        <w:rPr>
          <w:sz w:val="20"/>
          <w:szCs w:val="20"/>
        </w:rPr>
        <w:t xml:space="preserve">) </w:t>
      </w:r>
      <w:r w:rsidR="00044436" w:rsidRPr="008C7EEE">
        <w:rPr>
          <w:sz w:val="20"/>
          <w:szCs w:val="20"/>
        </w:rPr>
        <w:t>est désigné comme pilote du processus d'évaluation technique des laboratoires reconnus au titre de l'arrêté du 29 mars 2019 susvisé.</w:t>
      </w:r>
    </w:p>
    <w:p w:rsidR="00044436" w:rsidRPr="008C7EEE" w:rsidRDefault="00044436" w:rsidP="00044436">
      <w:pPr>
        <w:pStyle w:val="western"/>
        <w:ind w:left="0" w:firstLine="0"/>
        <w:rPr>
          <w:b/>
          <w:bCs/>
          <w:sz w:val="20"/>
          <w:szCs w:val="20"/>
        </w:rPr>
      </w:pPr>
    </w:p>
    <w:p w:rsidR="00044436" w:rsidRPr="008C7EEE" w:rsidRDefault="00044436" w:rsidP="00044436">
      <w:pPr>
        <w:pStyle w:val="western"/>
        <w:ind w:left="0" w:firstLine="0"/>
        <w:rPr>
          <w:sz w:val="20"/>
          <w:szCs w:val="20"/>
        </w:rPr>
      </w:pPr>
      <w:r w:rsidRPr="008C7EEE">
        <w:rPr>
          <w:b/>
          <w:bCs/>
          <w:sz w:val="20"/>
          <w:szCs w:val="20"/>
        </w:rPr>
        <w:t>Article 2</w:t>
      </w:r>
    </w:p>
    <w:p w:rsidR="00044436" w:rsidRPr="008C7EEE" w:rsidRDefault="00044436" w:rsidP="00044436">
      <w:pPr>
        <w:pStyle w:val="western"/>
        <w:ind w:left="0" w:firstLine="0"/>
        <w:rPr>
          <w:sz w:val="20"/>
          <w:szCs w:val="20"/>
        </w:rPr>
      </w:pPr>
      <w:r w:rsidRPr="008C7EEE">
        <w:rPr>
          <w:sz w:val="20"/>
          <w:szCs w:val="20"/>
        </w:rPr>
        <w:t>La présente reconnaissance porte, pour la filière ovine, sur les missions suivantes :</w:t>
      </w:r>
    </w:p>
    <w:p w:rsidR="00044436" w:rsidRPr="008C7EEE" w:rsidRDefault="00044436" w:rsidP="00044436">
      <w:pPr>
        <w:pStyle w:val="western"/>
        <w:numPr>
          <w:ilvl w:val="0"/>
          <w:numId w:val="1"/>
        </w:numPr>
        <w:rPr>
          <w:sz w:val="20"/>
          <w:szCs w:val="20"/>
        </w:rPr>
      </w:pPr>
      <w:r w:rsidRPr="008C7EEE">
        <w:rPr>
          <w:sz w:val="20"/>
          <w:szCs w:val="20"/>
        </w:rPr>
        <w:t>la procédure de reconnaissance d'une méthode ou d'un appareil d'analyse (article 2.1 de l'arrêté du 29 mars 2019),</w:t>
      </w:r>
    </w:p>
    <w:p w:rsidR="00044436" w:rsidRPr="008C7EEE" w:rsidRDefault="00044436" w:rsidP="00044436">
      <w:pPr>
        <w:pStyle w:val="western"/>
        <w:numPr>
          <w:ilvl w:val="0"/>
          <w:numId w:val="1"/>
        </w:numPr>
        <w:rPr>
          <w:sz w:val="20"/>
          <w:szCs w:val="20"/>
        </w:rPr>
      </w:pPr>
      <w:r w:rsidRPr="008C7EEE">
        <w:rPr>
          <w:sz w:val="20"/>
          <w:szCs w:val="20"/>
        </w:rPr>
        <w:t>l'instruction de la demande de reconnaissance d'un laboratoire (article 3.2 de l'arrêté du 29 mars 2019),</w:t>
      </w:r>
    </w:p>
    <w:p w:rsidR="00044436" w:rsidRPr="008C7EEE" w:rsidRDefault="00044436" w:rsidP="00044436">
      <w:pPr>
        <w:pStyle w:val="western"/>
        <w:numPr>
          <w:ilvl w:val="0"/>
          <w:numId w:val="1"/>
        </w:numPr>
        <w:rPr>
          <w:sz w:val="20"/>
          <w:szCs w:val="20"/>
        </w:rPr>
      </w:pPr>
      <w:r w:rsidRPr="008C7EEE">
        <w:rPr>
          <w:sz w:val="20"/>
          <w:szCs w:val="20"/>
        </w:rPr>
        <w:t>le pilotage du processus d'évaluation technique des laboratoires reconnus (article 4.1 de l'arrêté du 29 mars 2019),</w:t>
      </w:r>
    </w:p>
    <w:p w:rsidR="00044436" w:rsidRPr="008C7EEE" w:rsidRDefault="00044436" w:rsidP="00044436">
      <w:pPr>
        <w:pStyle w:val="western"/>
        <w:numPr>
          <w:ilvl w:val="0"/>
          <w:numId w:val="2"/>
        </w:numPr>
        <w:rPr>
          <w:sz w:val="20"/>
          <w:szCs w:val="20"/>
        </w:rPr>
      </w:pPr>
      <w:r w:rsidRPr="008C7EEE">
        <w:rPr>
          <w:sz w:val="20"/>
          <w:szCs w:val="20"/>
        </w:rPr>
        <w:t>les essais inter-laboratoires d'aptitude (article 4.2 de l'arrêté du 29 mars 2019),</w:t>
      </w:r>
    </w:p>
    <w:p w:rsidR="00044436" w:rsidRPr="008C7EEE" w:rsidRDefault="00044436" w:rsidP="00044436">
      <w:pPr>
        <w:pStyle w:val="western"/>
        <w:numPr>
          <w:ilvl w:val="0"/>
          <w:numId w:val="2"/>
        </w:numPr>
        <w:rPr>
          <w:sz w:val="20"/>
          <w:szCs w:val="20"/>
        </w:rPr>
      </w:pPr>
      <w:r w:rsidRPr="008C7EEE">
        <w:rPr>
          <w:sz w:val="20"/>
          <w:szCs w:val="20"/>
        </w:rPr>
        <w:t>l'audit des laboratoires reconnus (article 4.3 de l'arrêté du 29 mars 2019).</w:t>
      </w:r>
    </w:p>
    <w:p w:rsidR="00044436" w:rsidRPr="008C7EEE" w:rsidRDefault="00044436" w:rsidP="00044436">
      <w:pPr>
        <w:pStyle w:val="western"/>
        <w:ind w:left="0" w:firstLine="0"/>
        <w:rPr>
          <w:b/>
          <w:bCs/>
          <w:sz w:val="20"/>
          <w:szCs w:val="20"/>
        </w:rPr>
      </w:pPr>
    </w:p>
    <w:p w:rsidR="00044436" w:rsidRPr="008C7EEE" w:rsidRDefault="00044436" w:rsidP="00044436">
      <w:pPr>
        <w:pStyle w:val="western"/>
        <w:ind w:left="0" w:firstLine="0"/>
        <w:rPr>
          <w:sz w:val="20"/>
          <w:szCs w:val="20"/>
        </w:rPr>
      </w:pPr>
      <w:r w:rsidRPr="008C7EEE">
        <w:rPr>
          <w:b/>
          <w:bCs/>
          <w:sz w:val="20"/>
          <w:szCs w:val="20"/>
        </w:rPr>
        <w:t>Article 3</w:t>
      </w:r>
    </w:p>
    <w:p w:rsidR="00044436" w:rsidRPr="008C7EEE" w:rsidRDefault="00044436" w:rsidP="00044436">
      <w:pPr>
        <w:pStyle w:val="western"/>
        <w:ind w:left="0" w:firstLine="0"/>
        <w:rPr>
          <w:sz w:val="20"/>
          <w:szCs w:val="20"/>
        </w:rPr>
      </w:pPr>
      <w:r w:rsidRPr="008C7EEE">
        <w:rPr>
          <w:sz w:val="20"/>
          <w:szCs w:val="20"/>
        </w:rPr>
        <w:t xml:space="preserve">La présente décision entre en vigueur le </w:t>
      </w:r>
      <w:r w:rsidR="00996B83">
        <w:rPr>
          <w:sz w:val="20"/>
          <w:szCs w:val="20"/>
        </w:rPr>
        <w:t>19 août 2022</w:t>
      </w:r>
    </w:p>
    <w:p w:rsidR="00044436" w:rsidRPr="008C7EEE" w:rsidRDefault="00044436" w:rsidP="00044436">
      <w:pPr>
        <w:pStyle w:val="western"/>
        <w:ind w:left="0" w:firstLine="0"/>
        <w:rPr>
          <w:b/>
          <w:bCs/>
          <w:sz w:val="20"/>
          <w:szCs w:val="20"/>
        </w:rPr>
      </w:pPr>
    </w:p>
    <w:p w:rsidR="00044436" w:rsidRPr="008C7EEE" w:rsidRDefault="00044436" w:rsidP="00044436">
      <w:pPr>
        <w:pStyle w:val="western"/>
        <w:ind w:left="0" w:firstLine="0"/>
        <w:rPr>
          <w:sz w:val="20"/>
          <w:szCs w:val="20"/>
        </w:rPr>
      </w:pPr>
      <w:r w:rsidRPr="008C7EEE">
        <w:rPr>
          <w:b/>
          <w:bCs/>
          <w:sz w:val="20"/>
          <w:szCs w:val="20"/>
        </w:rPr>
        <w:t>Article 4</w:t>
      </w:r>
    </w:p>
    <w:p w:rsidR="00044436" w:rsidRPr="008C7EEE" w:rsidRDefault="00053DFC" w:rsidP="00044436">
      <w:pPr>
        <w:pStyle w:val="western"/>
        <w:ind w:left="0" w:firstLine="0"/>
        <w:rPr>
          <w:sz w:val="20"/>
          <w:szCs w:val="20"/>
        </w:rPr>
      </w:pPr>
      <w:r>
        <w:rPr>
          <w:sz w:val="20"/>
          <w:szCs w:val="20"/>
        </w:rPr>
        <w:t>La directrice</w:t>
      </w:r>
      <w:r w:rsidR="00044436" w:rsidRPr="008C7EEE">
        <w:rPr>
          <w:sz w:val="20"/>
          <w:szCs w:val="20"/>
        </w:rPr>
        <w:t xml:space="preserve"> général</w:t>
      </w:r>
      <w:r>
        <w:rPr>
          <w:sz w:val="20"/>
          <w:szCs w:val="20"/>
        </w:rPr>
        <w:t>e</w:t>
      </w:r>
      <w:r w:rsidR="00044436" w:rsidRPr="008C7EEE">
        <w:rPr>
          <w:sz w:val="20"/>
          <w:szCs w:val="20"/>
        </w:rPr>
        <w:t xml:space="preserve"> de l'alimentation est chargé</w:t>
      </w:r>
      <w:r>
        <w:rPr>
          <w:sz w:val="20"/>
          <w:szCs w:val="20"/>
        </w:rPr>
        <w:t>e</w:t>
      </w:r>
      <w:r w:rsidR="00044436" w:rsidRPr="008C7EEE">
        <w:rPr>
          <w:sz w:val="20"/>
          <w:szCs w:val="20"/>
        </w:rPr>
        <w:t xml:space="preserve"> de l'exécution de la présente décision</w:t>
      </w:r>
      <w:r>
        <w:rPr>
          <w:sz w:val="20"/>
          <w:szCs w:val="20"/>
        </w:rPr>
        <w:t>, qui sera publiée au Bulletin O</w:t>
      </w:r>
      <w:r w:rsidR="00044436" w:rsidRPr="008C7EEE">
        <w:rPr>
          <w:sz w:val="20"/>
          <w:szCs w:val="20"/>
        </w:rPr>
        <w:t>fficiel du ministère de l’agriculture et de l</w:t>
      </w:r>
      <w:r>
        <w:rPr>
          <w:sz w:val="20"/>
          <w:szCs w:val="20"/>
        </w:rPr>
        <w:t>a souveraineté alimentaire</w:t>
      </w:r>
      <w:r w:rsidR="00044436" w:rsidRPr="008C7EEE">
        <w:rPr>
          <w:sz w:val="20"/>
          <w:szCs w:val="20"/>
        </w:rPr>
        <w:t>.</w:t>
      </w:r>
    </w:p>
    <w:p w:rsidR="00452437" w:rsidRPr="008C7EEE" w:rsidRDefault="00452437" w:rsidP="00044436">
      <w:pPr>
        <w:pStyle w:val="western"/>
        <w:ind w:left="0" w:firstLine="0"/>
        <w:rPr>
          <w:sz w:val="20"/>
          <w:szCs w:val="20"/>
        </w:rPr>
      </w:pPr>
    </w:p>
    <w:p w:rsidR="00044436" w:rsidRPr="008C7EEE" w:rsidRDefault="00044436" w:rsidP="00044436">
      <w:pPr>
        <w:pStyle w:val="western"/>
        <w:ind w:left="0" w:firstLine="0"/>
        <w:rPr>
          <w:sz w:val="20"/>
          <w:szCs w:val="20"/>
        </w:rPr>
      </w:pPr>
      <w:r w:rsidRPr="008C7EEE">
        <w:rPr>
          <w:sz w:val="20"/>
          <w:szCs w:val="20"/>
        </w:rPr>
        <w:t xml:space="preserve">Fait le </w:t>
      </w:r>
      <w:r w:rsidR="00996B83">
        <w:rPr>
          <w:sz w:val="20"/>
          <w:szCs w:val="20"/>
        </w:rPr>
        <w:t>19 août 2022</w:t>
      </w:r>
    </w:p>
    <w:p w:rsidR="00044436" w:rsidRPr="008C7EEE" w:rsidRDefault="00044436" w:rsidP="00044436">
      <w:pPr>
        <w:pStyle w:val="western"/>
        <w:ind w:left="0" w:firstLine="0"/>
        <w:rPr>
          <w:sz w:val="20"/>
          <w:szCs w:val="20"/>
        </w:rPr>
      </w:pPr>
      <w:r w:rsidRPr="008C7EEE">
        <w:rPr>
          <w:sz w:val="20"/>
          <w:szCs w:val="20"/>
        </w:rPr>
        <w:t xml:space="preserve">Pour le ministre et par délégation </w:t>
      </w:r>
    </w:p>
    <w:p w:rsidR="00044436" w:rsidRDefault="008C7EEE" w:rsidP="00367C1D">
      <w:pPr>
        <w:pStyle w:val="western"/>
        <w:ind w:left="0" w:firstLine="0"/>
        <w:rPr>
          <w:sz w:val="20"/>
          <w:szCs w:val="20"/>
        </w:rPr>
      </w:pPr>
      <w:r>
        <w:rPr>
          <w:sz w:val="20"/>
          <w:szCs w:val="20"/>
        </w:rPr>
        <w:t>La</w:t>
      </w:r>
      <w:r w:rsidR="005859EC" w:rsidRPr="008C7EEE">
        <w:rPr>
          <w:sz w:val="20"/>
          <w:szCs w:val="20"/>
        </w:rPr>
        <w:t xml:space="preserve"> </w:t>
      </w:r>
      <w:r>
        <w:rPr>
          <w:sz w:val="20"/>
          <w:szCs w:val="20"/>
        </w:rPr>
        <w:t>Directrice</w:t>
      </w:r>
      <w:r w:rsidR="00E51FCD" w:rsidRPr="008C7EEE">
        <w:rPr>
          <w:sz w:val="20"/>
          <w:szCs w:val="20"/>
        </w:rPr>
        <w:t xml:space="preserve"> Général</w:t>
      </w:r>
      <w:r>
        <w:rPr>
          <w:sz w:val="20"/>
          <w:szCs w:val="20"/>
        </w:rPr>
        <w:t>e</w:t>
      </w:r>
      <w:r w:rsidR="00E51FCD" w:rsidRPr="008C7EEE">
        <w:rPr>
          <w:sz w:val="20"/>
          <w:szCs w:val="20"/>
        </w:rPr>
        <w:t xml:space="preserve"> de l’Alimentation</w:t>
      </w:r>
    </w:p>
    <w:p w:rsidR="00996B83" w:rsidRDefault="00996B83" w:rsidP="00367C1D">
      <w:pPr>
        <w:pStyle w:val="western"/>
        <w:ind w:left="0" w:firstLine="0"/>
        <w:rPr>
          <w:sz w:val="20"/>
          <w:szCs w:val="20"/>
        </w:rPr>
      </w:pPr>
    </w:p>
    <w:p w:rsidR="00996B83" w:rsidRPr="008C7EEE" w:rsidRDefault="00996B83" w:rsidP="00367C1D">
      <w:pPr>
        <w:pStyle w:val="western"/>
        <w:ind w:left="0" w:firstLine="0"/>
        <w:rPr>
          <w:sz w:val="20"/>
          <w:szCs w:val="20"/>
        </w:rPr>
      </w:pPr>
      <w:r>
        <w:rPr>
          <w:sz w:val="20"/>
          <w:szCs w:val="20"/>
        </w:rPr>
        <w:t>Maud FAIPOUX</w:t>
      </w:r>
    </w:p>
    <w:p w:rsidR="00367C1D" w:rsidRPr="008C7EEE" w:rsidRDefault="00367C1D" w:rsidP="00044436">
      <w:pPr>
        <w:pStyle w:val="western"/>
        <w:ind w:left="0" w:firstLine="0"/>
        <w:rPr>
          <w:sz w:val="20"/>
          <w:szCs w:val="20"/>
        </w:rPr>
      </w:pPr>
    </w:p>
    <w:sectPr w:rsidR="00367C1D" w:rsidRPr="008C7EEE" w:rsidSect="00044436">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7E3" w:rsidRDefault="008B37E3" w:rsidP="00044436">
      <w:pPr>
        <w:spacing w:after="0" w:line="240" w:lineRule="auto"/>
      </w:pPr>
      <w:r>
        <w:separator/>
      </w:r>
    </w:p>
  </w:endnote>
  <w:endnote w:type="continuationSeparator" w:id="0">
    <w:p w:rsidR="008B37E3" w:rsidRDefault="008B37E3" w:rsidP="00044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7E3" w:rsidRDefault="008B37E3" w:rsidP="00044436">
      <w:pPr>
        <w:spacing w:after="0" w:line="240" w:lineRule="auto"/>
      </w:pPr>
      <w:r>
        <w:separator/>
      </w:r>
    </w:p>
  </w:footnote>
  <w:footnote w:type="continuationSeparator" w:id="0">
    <w:p w:rsidR="008B37E3" w:rsidRDefault="008B37E3" w:rsidP="000444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9C78B6"/>
    <w:multiLevelType w:val="hybridMultilevel"/>
    <w:tmpl w:val="75A814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C4E0386"/>
    <w:multiLevelType w:val="hybridMultilevel"/>
    <w:tmpl w:val="C46A9236"/>
    <w:lvl w:ilvl="0" w:tplc="38BE4D48">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436"/>
    <w:rsid w:val="00044436"/>
    <w:rsid w:val="00053DFC"/>
    <w:rsid w:val="00367C1D"/>
    <w:rsid w:val="00452437"/>
    <w:rsid w:val="005859EC"/>
    <w:rsid w:val="00592DEF"/>
    <w:rsid w:val="007933DE"/>
    <w:rsid w:val="008B37E3"/>
    <w:rsid w:val="008C7EEE"/>
    <w:rsid w:val="00967CFE"/>
    <w:rsid w:val="00996B83"/>
    <w:rsid w:val="00DA164F"/>
    <w:rsid w:val="00E42E59"/>
    <w:rsid w:val="00E51F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209EC"/>
  <w15:chartTrackingRefBased/>
  <w15:docId w15:val="{E91F8DA7-C499-4677-BE75-DE2D01990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43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44436"/>
    <w:pPr>
      <w:tabs>
        <w:tab w:val="center" w:pos="4536"/>
        <w:tab w:val="right" w:pos="9072"/>
      </w:tabs>
      <w:spacing w:after="0" w:line="240" w:lineRule="auto"/>
    </w:pPr>
  </w:style>
  <w:style w:type="character" w:customStyle="1" w:styleId="En-tteCar">
    <w:name w:val="En-tête Car"/>
    <w:basedOn w:val="Policepardfaut"/>
    <w:link w:val="En-tte"/>
    <w:uiPriority w:val="99"/>
    <w:rsid w:val="00044436"/>
  </w:style>
  <w:style w:type="paragraph" w:styleId="Pieddepage">
    <w:name w:val="footer"/>
    <w:basedOn w:val="Normal"/>
    <w:link w:val="PieddepageCar"/>
    <w:uiPriority w:val="99"/>
    <w:unhideWhenUsed/>
    <w:rsid w:val="0004443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44436"/>
  </w:style>
  <w:style w:type="paragraph" w:customStyle="1" w:styleId="western">
    <w:name w:val="western"/>
    <w:basedOn w:val="Normal"/>
    <w:rsid w:val="00044436"/>
    <w:pPr>
      <w:spacing w:before="57" w:after="57" w:line="240" w:lineRule="auto"/>
      <w:ind w:left="1134" w:firstLine="567"/>
      <w:jc w:val="both"/>
    </w:pPr>
    <w:rPr>
      <w:rFonts w:ascii="Arial" w:eastAsia="Times New Roman" w:hAnsi="Arial" w:cs="Arial"/>
      <w:lang w:eastAsia="fr-FR"/>
    </w:rPr>
  </w:style>
  <w:style w:type="paragraph" w:styleId="Textedebulles">
    <w:name w:val="Balloon Text"/>
    <w:basedOn w:val="Normal"/>
    <w:link w:val="TextedebullesCar"/>
    <w:uiPriority w:val="99"/>
    <w:semiHidden/>
    <w:unhideWhenUsed/>
    <w:rsid w:val="00967CF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67C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333</Words>
  <Characters>1833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FRANCK LEHMANN</dc:creator>
  <cp:keywords/>
  <dc:description/>
  <cp:lastModifiedBy>Bénédicte TOULOUSE</cp:lastModifiedBy>
  <cp:revision>3</cp:revision>
  <cp:lastPrinted>2022-04-13T07:44:00Z</cp:lastPrinted>
  <dcterms:created xsi:type="dcterms:W3CDTF">2022-08-29T12:25:00Z</dcterms:created>
  <dcterms:modified xsi:type="dcterms:W3CDTF">2022-08-29T12:27:00Z</dcterms:modified>
</cp:coreProperties>
</file>