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sdetexte"/>
        <w:rPr>
          <w:rFonts w:ascii="Cambria" w:hAnsi="Cambria" w:asciiTheme="majorHAnsi" w:hAnsiTheme="majorHAnsi"/>
          <w:sz w:val="24"/>
          <w:szCs w:val="24"/>
        </w:rPr>
      </w:pPr>
      <w:r>
        <w:rPr>
          <w:rFonts w:asciiTheme="majorHAnsi" w:hAnsiTheme="majorHAnsi" w:ascii="Cambria" w:hAnsi="Cambria"/>
          <w:sz w:val="24"/>
          <w:szCs w:val="24"/>
        </w:rPr>
      </w:r>
    </w:p>
    <w:p>
      <w:pPr>
        <w:pStyle w:val="Corpsdetexte"/>
        <w:jc w:val="both"/>
        <w:rPr>
          <w:rFonts w:ascii="Cambria" w:hAnsi="Cambria" w:cs="Calibri" w:asciiTheme="majorHAnsi" w:hAnsiTheme="majorHAnsi"/>
          <w:b w:val="false"/>
          <w:b w:val="false"/>
          <w:bCs w:val="false"/>
          <w:color w:val="00000A"/>
          <w:sz w:val="24"/>
          <w:szCs w:val="24"/>
        </w:rPr>
      </w:pPr>
      <w:r>
        <w:rPr>
          <w:rFonts w:cs="Calibri" w:ascii="Cambria" w:hAnsi="Cambria" w:asciiTheme="majorHAnsi" w:hAnsiTheme="majorHAnsi"/>
          <w:b w:val="false"/>
          <w:bCs w:val="false"/>
          <w:color w:val="00000A"/>
          <w:sz w:val="24"/>
          <w:szCs w:val="24"/>
        </w:rPr>
        <w:t>Fin 2019 le secrétariat général a engagé une réflexion sur la fonction numérique au ministère de l'agriculture et de l'alimentation (MAA) dans le but de répondre aux nouveaux enjeux liés au développement du numérique et de tirer parti des opportunités offertes par les évolutions technologiques. Il s’agit de positionner le numérique et les systèmes d’information en tant que levier stratégique au cœur du MAA, notamment de l’administration centrale, pleinement au service de l’efficacité des politiques publiques, au bénéfice des usagers, d’une part, et des agents, d’autre part. Une telle ambition nécessite d’adapter l’organisation et la gouvernance de la fonction numérique, afin notamment de sécuriser la mise en œuvre opérationnelle du plan de transformation numérique du ministère. Dans le même temps, il est apparu tout aussi stratégique de conduire une réflexion sur les fonctions de pilotage et de transformation. Actuellement confiées au service de la modernisation, elles devaient nécessairement évoluer à la faveur de la refonte de la fonction numérique. Au-delà, il importait aussi de conforter leur positionnement et de rationaliser leur organisation.</w:t>
      </w:r>
    </w:p>
    <w:p>
      <w:pPr>
        <w:pStyle w:val="Corpsdetexte"/>
        <w:jc w:val="both"/>
        <w:rPr>
          <w:rFonts w:ascii="Cambria" w:hAnsi="Cambria" w:cs="Calibri" w:asciiTheme="majorHAnsi" w:hAnsiTheme="majorHAnsi"/>
          <w:b w:val="false"/>
          <w:b w:val="false"/>
          <w:bCs w:val="false"/>
          <w:color w:val="00000A"/>
          <w:sz w:val="24"/>
          <w:szCs w:val="24"/>
        </w:rPr>
      </w:pPr>
      <w:r>
        <w:rPr>
          <w:rFonts w:cs="Calibri" w:ascii="Cambria" w:hAnsi="Cambria" w:asciiTheme="majorHAnsi" w:hAnsiTheme="majorHAnsi"/>
          <w:b w:val="false"/>
          <w:bCs w:val="false"/>
          <w:color w:val="00000A"/>
          <w:sz w:val="24"/>
          <w:szCs w:val="24"/>
        </w:rPr>
        <w:t>C'est dans ce contexte qu'une nouvelle organisation du secrétariat général a été présentée lors des comités techniques du secrétariat général des 2 mars et 6 avril 2021.</w:t>
      </w:r>
    </w:p>
    <w:p>
      <w:pPr>
        <w:pStyle w:val="Corpsdetexte"/>
        <w:jc w:val="both"/>
        <w:rPr>
          <w:rFonts w:ascii="Cambria" w:hAnsi="Cambria" w:cs="Calibri" w:asciiTheme="majorHAnsi" w:hAnsiTheme="majorHAnsi"/>
          <w:b w:val="false"/>
          <w:b w:val="false"/>
          <w:bCs w:val="false"/>
          <w:color w:val="00000A"/>
          <w:sz w:val="24"/>
          <w:szCs w:val="24"/>
        </w:rPr>
      </w:pPr>
      <w:r>
        <w:rPr>
          <w:rFonts w:cs="Calibri" w:ascii="Cambria" w:hAnsi="Cambria" w:asciiTheme="majorHAnsi" w:hAnsiTheme="majorHAnsi"/>
          <w:b w:val="false"/>
          <w:bCs w:val="false"/>
          <w:color w:val="00000A"/>
          <w:sz w:val="24"/>
          <w:szCs w:val="24"/>
        </w:rPr>
        <w:t>Les postes listés dans cette note de mobilité sont proposés dans le cadre de cette restructuration et, notamment de la création du service du numérique et de la délégation au pilotage et à la transformation.</w:t>
      </w:r>
    </w:p>
    <w:p>
      <w:pPr>
        <w:pStyle w:val="Corpsdetexte"/>
        <w:jc w:val="both"/>
        <w:rPr>
          <w:rFonts w:ascii="Cambria" w:hAnsi="Cambria" w:asciiTheme="majorHAnsi" w:hAnsiTheme="majorHAnsi"/>
        </w:rPr>
      </w:pPr>
      <w:r>
        <w:rPr>
          <w:rFonts w:asciiTheme="majorHAnsi" w:hAnsiTheme="majorHAnsi" w:ascii="Cambria" w:hAnsi="Cambria"/>
        </w:rPr>
      </w:r>
    </w:p>
    <w:p>
      <w:pPr>
        <w:pStyle w:val="Corpsdetexte"/>
        <w:rPr>
          <w:rFonts w:ascii="Cambria" w:hAnsi="Cambria" w:cs="Calibri" w:asciiTheme="majorHAnsi" w:cstheme="minorHAnsi" w:hAnsiTheme="majorHAnsi"/>
          <w:b w:val="false"/>
          <w:b w:val="false"/>
          <w:bCs w:val="false"/>
          <w:color w:val="00000A"/>
          <w:sz w:val="24"/>
          <w:szCs w:val="24"/>
        </w:rPr>
      </w:pPr>
      <w:r>
        <w:rPr>
          <w:rFonts w:cs="Calibri" w:ascii="Cambria" w:hAnsi="Cambria" w:cstheme="minorHAnsi"/>
          <w:b w:val="false"/>
          <w:bCs w:val="false"/>
          <w:color w:val="00000A"/>
          <w:sz w:val="24"/>
          <w:szCs w:val="24"/>
        </w:rPr>
        <w:t>Le dossier de candidature doit être envoyé par messagerie à l'adresse mentionnée dans la fiche de poste.</w:t>
      </w:r>
    </w:p>
    <w:p>
      <w:pPr>
        <w:pStyle w:val="Corpsdetexte"/>
        <w:rPr>
          <w:rFonts w:ascii="Cambria" w:hAnsi="Cambria" w:cs="Calibri" w:asciiTheme="majorHAnsi" w:cstheme="minorHAnsi" w:hAnsiTheme="majorHAnsi"/>
          <w:b w:val="false"/>
          <w:b w:val="false"/>
          <w:bCs w:val="false"/>
          <w:color w:val="00000A"/>
          <w:sz w:val="24"/>
          <w:szCs w:val="24"/>
        </w:rPr>
      </w:pPr>
      <w:r>
        <w:rPr>
          <w:rFonts w:cs="Calibri" w:cstheme="minorHAnsi" w:ascii="Cambria" w:hAnsi="Cambria"/>
          <w:b w:val="false"/>
          <w:bCs w:val="false"/>
          <w:color w:val="00000A"/>
          <w:sz w:val="24"/>
          <w:szCs w:val="24"/>
        </w:rPr>
      </w:r>
    </w:p>
    <w:p>
      <w:pPr>
        <w:pStyle w:val="Corpsdetexte"/>
        <w:rPr>
          <w:rFonts w:ascii="Cambria" w:hAnsi="Cambria" w:cs="Calibri" w:asciiTheme="majorHAnsi" w:cstheme="minorHAnsi" w:hAnsiTheme="majorHAnsi"/>
          <w:b w:val="false"/>
          <w:b w:val="false"/>
          <w:bCs w:val="false"/>
          <w:color w:val="00000A"/>
          <w:sz w:val="24"/>
          <w:szCs w:val="24"/>
        </w:rPr>
      </w:pPr>
      <w:r>
        <w:rPr>
          <w:rFonts w:cs="Calibri" w:cstheme="minorHAnsi" w:ascii="Cambria" w:hAnsi="Cambria"/>
          <w:b w:val="false"/>
          <w:bCs w:val="false"/>
          <w:color w:val="00000A"/>
          <w:sz w:val="24"/>
          <w:szCs w:val="24"/>
        </w:rPr>
      </w:r>
    </w:p>
    <w:p>
      <w:pPr>
        <w:pStyle w:val="Corpsdetexte"/>
        <w:rPr>
          <w:rFonts w:ascii="Cambria" w:hAnsi="Cambria" w:cs="Calibri" w:asciiTheme="majorHAnsi" w:cstheme="minorHAnsi" w:hAnsiTheme="majorHAnsi"/>
          <w:b w:val="false"/>
          <w:b w:val="false"/>
          <w:bCs w:val="false"/>
          <w:color w:val="00000A"/>
          <w:sz w:val="24"/>
          <w:szCs w:val="24"/>
        </w:rPr>
      </w:pPr>
      <w:r>
        <w:rPr>
          <w:rFonts w:cs="Calibri" w:ascii="Cambria" w:hAnsi="Cambria" w:cstheme="minorHAnsi"/>
          <w:b w:val="false"/>
          <w:bCs w:val="false"/>
          <w:color w:val="00000A"/>
          <w:sz w:val="24"/>
          <w:szCs w:val="24"/>
        </w:rPr>
        <w:t>En annexe  : les fiches de poste.</w:t>
      </w:r>
    </w:p>
    <w:p>
      <w:pPr>
        <w:pStyle w:val="Corpsdetexte"/>
        <w:rPr>
          <w:rFonts w:ascii="Cambria" w:hAnsi="Cambria" w:cs="Calibri" w:asciiTheme="majorHAnsi" w:cstheme="minorHAnsi" w:hAnsiTheme="majorHAnsi"/>
          <w:b w:val="false"/>
          <w:b w:val="false"/>
          <w:bCs w:val="false"/>
          <w:color w:val="00000A"/>
          <w:sz w:val="24"/>
          <w:szCs w:val="24"/>
        </w:rPr>
      </w:pPr>
      <w:r>
        <w:rPr>
          <w:rFonts w:cs="Calibri" w:cstheme="minorHAnsi" w:ascii="Cambria" w:hAnsi="Cambria"/>
          <w:b w:val="false"/>
          <w:bCs w:val="false"/>
          <w:color w:val="00000A"/>
          <w:sz w:val="24"/>
          <w:szCs w:val="24"/>
        </w:rPr>
      </w:r>
    </w:p>
    <w:p>
      <w:pPr>
        <w:pStyle w:val="Corpsdetexte"/>
        <w:rPr/>
      </w:pPr>
      <w:r>
        <w:rPr>
          <w:rFonts w:cs="Calibri" w:ascii="Cambria" w:hAnsi="Cambria" w:cstheme="minorHAnsi"/>
          <w:b/>
          <w:bCs/>
          <w:color w:val="00000A"/>
          <w:sz w:val="24"/>
          <w:szCs w:val="24"/>
        </w:rPr>
        <w:t>La date limite de candidature est le 0</w:t>
      </w:r>
      <w:r>
        <w:rPr>
          <w:rFonts w:cs="Calibri" w:ascii="Cambria" w:hAnsi="Cambria" w:cstheme="minorHAnsi"/>
          <w:b/>
          <w:bCs/>
          <w:color w:val="00000A"/>
          <w:sz w:val="24"/>
          <w:szCs w:val="24"/>
        </w:rPr>
        <w:t>8</w:t>
      </w:r>
      <w:r>
        <w:rPr>
          <w:rFonts w:cs="Calibri" w:ascii="Cambria" w:hAnsi="Cambria" w:cstheme="minorHAnsi"/>
          <w:b/>
          <w:bCs/>
          <w:color w:val="00000A"/>
          <w:sz w:val="24"/>
          <w:szCs w:val="24"/>
        </w:rPr>
        <w:t xml:space="preserve"> juillet 2021.</w:t>
      </w:r>
    </w:p>
    <w:tbl>
      <w:tblPr>
        <w:tblW w:w="9465" w:type="dxa"/>
        <w:jc w:val="left"/>
        <w:tblInd w:w="279" w:type="dxa"/>
        <w:tblBorders/>
        <w:tblCellMar>
          <w:top w:w="0" w:type="dxa"/>
          <w:left w:w="54" w:type="dxa"/>
          <w:bottom w:w="0" w:type="dxa"/>
          <w:right w:w="54" w:type="dxa"/>
        </w:tblCellMar>
        <w:tblLook w:noVBand="0" w:val="0000" w:noHBand="0" w:lastColumn="0" w:firstColumn="0" w:lastRow="0" w:firstRow="0"/>
      </w:tblPr>
      <w:tblGrid>
        <w:gridCol w:w="9465"/>
      </w:tblGrid>
      <w:tr>
        <w:trPr>
          <w:trHeight w:val="1" w:hRule="atLeast"/>
        </w:trPr>
        <w:tc>
          <w:tcPr>
            <w:tcW w:w="9465" w:type="dxa"/>
            <w:tcBorders/>
            <w:shd w:color="000000" w:fill="FFFFFF" w:val="clear"/>
          </w:tcPr>
          <w:p>
            <w:pPr>
              <w:pStyle w:val="Normal"/>
              <w:tabs>
                <w:tab w:val="center" w:pos="4830" w:leader="none"/>
              </w:tabs>
              <w:spacing w:lineRule="auto" w:line="240" w:before="0" w:after="0"/>
              <w:ind w:left="4649" w:hanging="0"/>
              <w:jc w:val="center"/>
              <w:rPr>
                <w:rFonts w:ascii="Cambria" w:hAnsi="Cambria" w:cs="Arial" w:asciiTheme="majorHAnsi" w:hAnsiTheme="majorHAnsi"/>
                <w:color w:val="000000"/>
                <w:sz w:val="24"/>
                <w:szCs w:val="24"/>
              </w:rPr>
            </w:pPr>
            <w:r>
              <w:rPr>
                <w:rFonts w:cs="Arial" w:ascii="Cambria" w:hAnsi="Cambria"/>
                <w:color w:val="000000"/>
                <w:sz w:val="24"/>
                <w:szCs w:val="24"/>
              </w:rPr>
            </w:r>
          </w:p>
          <w:p>
            <w:pPr>
              <w:pStyle w:val="Normal"/>
              <w:tabs>
                <w:tab w:val="center" w:pos="4830" w:leader="none"/>
              </w:tabs>
              <w:spacing w:lineRule="auto" w:line="240" w:before="0" w:after="0"/>
              <w:ind w:left="4649" w:hanging="0"/>
              <w:jc w:val="center"/>
              <w:rPr>
                <w:rFonts w:ascii="Cambria" w:hAnsi="Cambria" w:cs="Arial" w:asciiTheme="majorHAnsi" w:hAnsiTheme="majorHAnsi"/>
                <w:color w:val="000000"/>
                <w:sz w:val="24"/>
                <w:szCs w:val="24"/>
              </w:rPr>
            </w:pPr>
            <w:r>
              <w:rPr>
                <w:rFonts w:cs="Arial" w:ascii="Cambria" w:hAnsi="Cambria"/>
                <w:color w:val="000000"/>
                <w:sz w:val="24"/>
                <w:szCs w:val="24"/>
              </w:rPr>
            </w:r>
          </w:p>
          <w:p>
            <w:pPr>
              <w:pStyle w:val="Normal"/>
              <w:tabs>
                <w:tab w:val="center" w:pos="4830" w:leader="none"/>
              </w:tabs>
              <w:spacing w:lineRule="auto" w:line="240" w:before="0" w:after="0"/>
              <w:ind w:left="4649" w:hanging="0"/>
              <w:jc w:val="center"/>
              <w:rPr>
                <w:rFonts w:ascii="Cambria" w:hAnsi="Cambria" w:asciiTheme="majorHAnsi" w:hAnsiTheme="majorHAnsi"/>
                <w:color w:val="000000"/>
                <w:sz w:val="24"/>
                <w:szCs w:val="24"/>
              </w:rPr>
            </w:pPr>
            <w:r>
              <w:rPr>
                <w:rFonts w:cs="Arial" w:ascii="Cambria" w:hAnsi="Cambria" w:asciiTheme="majorHAnsi" w:hAnsiTheme="majorHAnsi"/>
                <w:color w:val="000000"/>
                <w:sz w:val="24"/>
                <w:szCs w:val="24"/>
              </w:rPr>
              <w:t>Le sous-directeur de la gestion</w:t>
            </w:r>
          </w:p>
          <w:p>
            <w:pPr>
              <w:pStyle w:val="Normal"/>
              <w:tabs>
                <w:tab w:val="center" w:pos="4830" w:leader="none"/>
              </w:tabs>
              <w:spacing w:lineRule="auto" w:line="240" w:before="0" w:after="0"/>
              <w:ind w:left="4649" w:hanging="0"/>
              <w:jc w:val="center"/>
              <w:rPr>
                <w:rFonts w:ascii="Cambria" w:hAnsi="Cambria" w:asciiTheme="majorHAnsi" w:hAnsiTheme="majorHAnsi"/>
                <w:sz w:val="24"/>
                <w:szCs w:val="24"/>
              </w:rPr>
            </w:pPr>
            <w:r>
              <w:rPr>
                <w:rFonts w:cs="Arial" w:ascii="Cambria" w:hAnsi="Cambria" w:asciiTheme="majorHAnsi" w:hAnsiTheme="majorHAnsi"/>
                <w:color w:val="000000"/>
                <w:sz w:val="24"/>
                <w:szCs w:val="24"/>
              </w:rPr>
              <w:t>des carrières et de la rémunération</w:t>
            </w:r>
          </w:p>
          <w:p>
            <w:pPr>
              <w:pStyle w:val="Normal"/>
              <w:tabs>
                <w:tab w:val="center" w:pos="4830" w:leader="none"/>
              </w:tabs>
              <w:spacing w:lineRule="auto" w:line="240" w:before="0" w:after="0"/>
              <w:ind w:left="4649" w:hanging="0"/>
              <w:jc w:val="center"/>
              <w:rPr>
                <w:rFonts w:ascii="Cambria" w:hAnsi="Cambria" w:cs="Calibri" w:asciiTheme="majorHAnsi" w:hAnsiTheme="majorHAnsi"/>
                <w:color w:val="000000"/>
                <w:sz w:val="24"/>
                <w:szCs w:val="24"/>
              </w:rPr>
            </w:pPr>
            <w:r>
              <w:rPr>
                <w:rFonts w:cs="Calibri" w:ascii="Cambria" w:hAnsi="Cambria"/>
                <w:color w:val="000000"/>
                <w:sz w:val="24"/>
                <w:szCs w:val="24"/>
              </w:rPr>
            </w:r>
          </w:p>
          <w:p>
            <w:pPr>
              <w:pStyle w:val="Normal"/>
              <w:tabs>
                <w:tab w:val="center" w:pos="4830" w:leader="none"/>
              </w:tabs>
              <w:spacing w:lineRule="auto" w:line="240" w:before="0" w:after="0"/>
              <w:ind w:left="4649" w:hanging="0"/>
              <w:jc w:val="center"/>
              <w:rPr>
                <w:rFonts w:ascii="Cambria" w:hAnsi="Cambria" w:cs="Calibri" w:asciiTheme="majorHAnsi" w:hAnsiTheme="majorHAnsi"/>
                <w:color w:val="000000"/>
                <w:sz w:val="24"/>
                <w:szCs w:val="24"/>
              </w:rPr>
            </w:pPr>
            <w:r>
              <w:rPr>
                <w:rFonts w:cs="Calibri" w:ascii="Cambria" w:hAnsi="Cambria"/>
                <w:color w:val="000000"/>
                <w:sz w:val="24"/>
                <w:szCs w:val="24"/>
              </w:rPr>
            </w:r>
          </w:p>
          <w:p>
            <w:pPr>
              <w:pStyle w:val="Normal"/>
              <w:tabs>
                <w:tab w:val="center" w:pos="4830" w:leader="none"/>
              </w:tabs>
              <w:spacing w:lineRule="auto" w:line="240" w:before="0" w:after="0"/>
              <w:ind w:left="4649" w:hanging="0"/>
              <w:jc w:val="center"/>
              <w:rPr>
                <w:rFonts w:ascii="Cambria" w:hAnsi="Cambria" w:cs="Calibri" w:asciiTheme="majorHAnsi" w:hAnsiTheme="majorHAnsi"/>
                <w:color w:val="000000"/>
                <w:sz w:val="24"/>
                <w:szCs w:val="24"/>
              </w:rPr>
            </w:pPr>
            <w:r>
              <w:rPr>
                <w:rFonts w:cs="Calibri" w:ascii="Cambria" w:hAnsi="Cambria"/>
                <w:color w:val="000000"/>
                <w:sz w:val="24"/>
                <w:szCs w:val="24"/>
              </w:rPr>
            </w:r>
          </w:p>
          <w:p>
            <w:pPr>
              <w:pStyle w:val="Normal"/>
              <w:tabs>
                <w:tab w:val="center" w:pos="4830" w:leader="none"/>
              </w:tabs>
              <w:spacing w:lineRule="auto" w:line="240" w:before="0" w:after="0"/>
              <w:ind w:left="4649" w:hanging="0"/>
              <w:jc w:val="center"/>
              <w:rPr>
                <w:rFonts w:ascii="Cambria" w:hAnsi="Cambria" w:cs="Calibri" w:asciiTheme="majorHAnsi" w:hAnsiTheme="majorHAnsi"/>
                <w:color w:val="000000"/>
                <w:sz w:val="24"/>
                <w:szCs w:val="24"/>
              </w:rPr>
            </w:pPr>
            <w:r>
              <w:rPr>
                <w:rFonts w:cs="Calibri" w:ascii="Cambria" w:hAnsi="Cambria"/>
                <w:color w:val="000000"/>
                <w:sz w:val="24"/>
                <w:szCs w:val="24"/>
              </w:rPr>
            </w:r>
          </w:p>
        </w:tc>
      </w:tr>
      <w:tr>
        <w:trPr>
          <w:trHeight w:val="245" w:hRule="atLeast"/>
        </w:trPr>
        <w:tc>
          <w:tcPr>
            <w:tcW w:w="9465" w:type="dxa"/>
            <w:tcBorders/>
            <w:shd w:color="000000" w:fill="FFFFFF" w:val="clear"/>
          </w:tcPr>
          <w:p>
            <w:pPr>
              <w:pStyle w:val="Normal"/>
              <w:tabs>
                <w:tab w:val="center" w:pos="4830" w:leader="none"/>
              </w:tabs>
              <w:spacing w:lineRule="auto" w:line="240" w:before="0" w:after="0"/>
              <w:ind w:left="4649" w:hanging="0"/>
              <w:jc w:val="center"/>
              <w:rPr>
                <w:rFonts w:ascii="Cambria" w:hAnsi="Cambria" w:asciiTheme="majorHAnsi" w:hAnsiTheme="majorHAnsi"/>
                <w:color w:val="000000"/>
                <w:sz w:val="24"/>
                <w:szCs w:val="24"/>
              </w:rPr>
            </w:pPr>
            <w:r>
              <w:rPr>
                <w:rFonts w:cs="Arial" w:ascii="Cambria" w:hAnsi="Cambria" w:asciiTheme="majorHAnsi" w:hAnsiTheme="majorHAnsi"/>
                <w:color w:val="000000"/>
                <w:sz w:val="24"/>
                <w:szCs w:val="24"/>
              </w:rPr>
              <w:t xml:space="preserve">Laurent BELLEGUIC   </w:t>
            </w:r>
          </w:p>
        </w:tc>
      </w:tr>
    </w:tbl>
    <w:p>
      <w:pPr>
        <w:pStyle w:val="Normal"/>
        <w:spacing w:before="0" w:after="200"/>
        <w:rPr/>
      </w:pPr>
      <w:r>
        <w:rPr/>
      </w:r>
    </w:p>
    <w:sectPr>
      <w:type w:val="nextPage"/>
      <w:pgSz w:w="11906" w:h="16838"/>
      <w:pgMar w:left="480" w:right="491" w:header="0" w:top="284" w:footer="0" w:bottom="993" w:gutter="0"/>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roman"/>
    <w:pitch w:val="variable"/>
  </w:font>
  <w:font w:name="Cambria">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fr-FR" w:eastAsia="en-US" w:bidi="ar-SA"/>
      </w:rPr>
    </w:rPrDefault>
    <w:pPrDefault>
      <w:pPr>
        <w:spacing w:lineRule="auto" w:line="276"/>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725b5"/>
    <w:pPr>
      <w:widowControl/>
      <w:suppressAutoHyphens w:val="true"/>
      <w:bidi w:val="0"/>
      <w:spacing w:lineRule="auto" w:line="276" w:before="0" w:after="200"/>
      <w:jc w:val="left"/>
    </w:pPr>
    <w:rPr>
      <w:rFonts w:ascii="Calibri" w:hAnsi="Calibri" w:eastAsia="Calibri" w:cs=""/>
      <w:color w:val="00000A"/>
      <w:sz w:val="22"/>
      <w:szCs w:val="22"/>
      <w:lang w:val="fr-FR" w:eastAsia="en-US" w:bidi="ar-SA"/>
    </w:rPr>
  </w:style>
  <w:style w:type="paragraph" w:styleId="Titre1">
    <w:name w:val="Titre 1"/>
    <w:basedOn w:val="Titreprincipal"/>
    <w:pPr>
      <w:outlineLvl w:val="0"/>
    </w:pPr>
    <w:rPr/>
  </w:style>
  <w:style w:type="paragraph" w:styleId="Titre2">
    <w:name w:val="Titre 2"/>
    <w:basedOn w:val="Titreprincipal"/>
    <w:pPr>
      <w:outlineLvl w:val="1"/>
    </w:pPr>
    <w:rPr/>
  </w:style>
  <w:style w:type="paragraph" w:styleId="Titre3">
    <w:name w:val="Titre 3"/>
    <w:basedOn w:val="Titreprincipal"/>
    <w:pPr>
      <w:outlineLvl w:val="2"/>
    </w:pPr>
    <w:rPr/>
  </w:style>
  <w:style w:type="character" w:styleId="DefaultParagraphFont" w:default="1">
    <w:name w:val="Default Paragraph Font"/>
    <w:uiPriority w:val="1"/>
    <w:semiHidden/>
    <w:unhideWhenUsed/>
    <w:qFormat/>
    <w:rPr/>
  </w:style>
  <w:style w:type="character" w:styleId="Stylespan21" w:customStyle="1">
    <w:name w:val="stylespan21"/>
    <w:basedOn w:val="DefaultParagraphFont"/>
    <w:qFormat/>
    <w:rsid w:val="00ed4f04"/>
    <w:rPr>
      <w:rFonts w:ascii="Arial" w:hAnsi="Arial" w:cs="Arial"/>
      <w:b/>
      <w:bCs/>
      <w:sz w:val="20"/>
      <w:szCs w:val="20"/>
    </w:rPr>
  </w:style>
  <w:style w:type="character" w:styleId="LienInternet" w:customStyle="1">
    <w:name w:val="Lien Internet"/>
    <w:basedOn w:val="DefaultParagraphFont"/>
    <w:uiPriority w:val="99"/>
    <w:unhideWhenUsed/>
    <w:rsid w:val="00cc0e97"/>
    <w:rPr>
      <w:color w:val="0000FF" w:themeColor="hyperlink"/>
      <w:u w:val="single"/>
    </w:rPr>
  </w:style>
  <w:style w:type="character" w:styleId="TextedebullesCar" w:customStyle="1">
    <w:name w:val="Texte de bulles Car"/>
    <w:basedOn w:val="DefaultParagraphFont"/>
    <w:link w:val="Textedebulles"/>
    <w:uiPriority w:val="99"/>
    <w:semiHidden/>
    <w:qFormat/>
    <w:rsid w:val="00de1977"/>
    <w:rPr>
      <w:rFonts w:ascii="Segoe UI" w:hAnsi="Segoe UI" w:cs="Segoe UI"/>
      <w:color w:val="00000A"/>
      <w:sz w:val="18"/>
      <w:szCs w:val="18"/>
    </w:rPr>
  </w:style>
  <w:style w:type="character" w:styleId="ListLabel1" w:customStyle="1">
    <w:name w:val="ListLabel 1"/>
    <w:qFormat/>
    <w:rPr>
      <w:rFonts w:eastAsia="Calibri" w:cs="Calibri"/>
      <w:sz w:val="24"/>
    </w:rPr>
  </w:style>
  <w:style w:type="character" w:styleId="ListLabel2" w:customStyle="1">
    <w:name w:val="ListLabel 2"/>
    <w:qFormat/>
    <w:rPr>
      <w:rFonts w:cs="Courier New"/>
    </w:rPr>
  </w:style>
  <w:style w:type="character" w:styleId="ListLabel3" w:customStyle="1">
    <w:name w:val="ListLabel 3"/>
    <w:qFormat/>
    <w:rPr>
      <w:rFonts w:eastAsia="Calibri" w:cs="Calibri"/>
    </w:rPr>
  </w:style>
  <w:style w:type="character" w:styleId="CorpsdetexteCar" w:customStyle="1">
    <w:name w:val="Corps de texte Car"/>
    <w:basedOn w:val="DefaultParagraphFont"/>
    <w:link w:val="Corpsdetexte"/>
    <w:qFormat/>
    <w:rsid w:val="00c37b28"/>
    <w:rPr>
      <w:rFonts w:ascii="Calibri" w:hAnsi="Calibri" w:eastAsia="Calibri"/>
      <w:color w:val="00000A"/>
      <w:sz w:val="22"/>
    </w:rPr>
  </w:style>
  <w:style w:type="character" w:styleId="Stylespan2" w:customStyle="1">
    <w:name w:val="stylespan2"/>
    <w:basedOn w:val="DefaultParagraphFont"/>
    <w:qFormat/>
    <w:rsid w:val="00d515ef"/>
    <w:rPr/>
  </w:style>
  <w:style w:type="character" w:styleId="ListLabel4">
    <w:name w:val="ListLabel 4"/>
    <w:qFormat/>
    <w:rPr>
      <w:rFonts w:eastAsia="Calibri" w:cs=""/>
    </w:rPr>
  </w:style>
  <w:style w:type="character" w:styleId="ListLabel5">
    <w:name w:val="ListLabel 5"/>
    <w:qFormat/>
    <w:rPr>
      <w:rFonts w:cs="Courier New"/>
    </w:rPr>
  </w:style>
  <w:style w:type="paragraph" w:styleId="Titre">
    <w:name w:val="Titre"/>
    <w:basedOn w:val="Normal"/>
    <w:next w:val="Corpsdetexte"/>
    <w:qFormat/>
    <w:pPr>
      <w:keepNext/>
      <w:spacing w:before="240" w:after="120"/>
    </w:pPr>
    <w:rPr>
      <w:rFonts w:ascii="Liberation Sans" w:hAnsi="Liberation Sans" w:eastAsia="Microsoft YaHei" w:cs="Arial"/>
      <w:sz w:val="28"/>
      <w:szCs w:val="28"/>
    </w:rPr>
  </w:style>
  <w:style w:type="paragraph" w:styleId="Corpsdetexte">
    <w:name w:val="Corps de texte"/>
    <w:basedOn w:val="Normal"/>
    <w:link w:val="CorpsdetexteCar"/>
    <w:pPr>
      <w:spacing w:lineRule="auto" w:line="288" w:before="0" w:after="140"/>
    </w:pPr>
    <w:rPr/>
  </w:style>
  <w:style w:type="paragraph" w:styleId="Liste">
    <w:name w:val="Liste"/>
    <w:basedOn w:val="Corpsdetexte"/>
    <w:pPr/>
    <w:rPr>
      <w:rFonts w:ascii="Liberation Sans" w:hAnsi="Liberation Sans" w:cs="Mangal"/>
    </w:rPr>
  </w:style>
  <w:style w:type="paragraph" w:styleId="Lgende">
    <w:name w:val="Légende"/>
    <w:basedOn w:val="Normal"/>
    <w:pPr>
      <w:suppressLineNumbers/>
      <w:spacing w:before="120" w:after="120"/>
    </w:pPr>
    <w:rPr>
      <w:rFonts w:cs="Arial"/>
      <w:i/>
      <w:iCs/>
      <w:sz w:val="24"/>
      <w:szCs w:val="24"/>
    </w:rPr>
  </w:style>
  <w:style w:type="paragraph" w:styleId="Index" w:customStyle="1">
    <w:name w:val="Index"/>
    <w:basedOn w:val="Normal"/>
    <w:qFormat/>
    <w:pPr>
      <w:suppressLineNumbers/>
    </w:pPr>
    <w:rPr>
      <w:rFonts w:ascii="Liberation Sans" w:hAnsi="Liberation Sans" w:cs="Mangal"/>
    </w:rPr>
  </w:style>
  <w:style w:type="paragraph" w:styleId="Titreprincipal" w:customStyle="1">
    <w:name w:val="Titre principal"/>
    <w:basedOn w:val="Normal"/>
    <w:pPr/>
    <w:rPr/>
  </w:style>
  <w:style w:type="paragraph" w:styleId="Caption">
    <w:name w:val="caption"/>
    <w:basedOn w:val="Normal"/>
    <w:qFormat/>
    <w:pPr>
      <w:suppressLineNumbers/>
      <w:spacing w:before="120" w:after="120"/>
    </w:pPr>
    <w:rPr>
      <w:rFonts w:ascii="Liberation Sans" w:hAnsi="Liberation Sans" w:cs="Mangal"/>
      <w:i/>
      <w:iCs/>
      <w:sz w:val="24"/>
      <w:szCs w:val="24"/>
    </w:rPr>
  </w:style>
  <w:style w:type="paragraph" w:styleId="ListParagraph">
    <w:name w:val="List Paragraph"/>
    <w:basedOn w:val="Normal"/>
    <w:uiPriority w:val="34"/>
    <w:qFormat/>
    <w:rsid w:val="001b0bc1"/>
    <w:pPr>
      <w:spacing w:lineRule="auto" w:line="240" w:beforeAutospacing="1" w:afterAutospacing="1"/>
    </w:pPr>
    <w:rPr>
      <w:rFonts w:ascii="Times New Roman" w:hAnsi="Times New Roman" w:eastAsia="Times New Roman" w:cs="Times New Roman"/>
      <w:sz w:val="24"/>
      <w:szCs w:val="24"/>
      <w:lang w:eastAsia="fr-FR"/>
    </w:rPr>
  </w:style>
  <w:style w:type="paragraph" w:styleId="Quotations" w:customStyle="1">
    <w:name w:val="Quotations"/>
    <w:basedOn w:val="Normal"/>
    <w:qFormat/>
    <w:pPr/>
    <w:rPr/>
  </w:style>
  <w:style w:type="paragraph" w:styleId="Soustitre">
    <w:name w:val="Sous-titre"/>
    <w:basedOn w:val="Titreprincipal"/>
    <w:pPr/>
    <w:rPr/>
  </w:style>
  <w:style w:type="paragraph" w:styleId="BalloonText">
    <w:name w:val="Balloon Text"/>
    <w:basedOn w:val="Normal"/>
    <w:link w:val="TextedebullesCar"/>
    <w:uiPriority w:val="99"/>
    <w:semiHidden/>
    <w:unhideWhenUsed/>
    <w:qFormat/>
    <w:rsid w:val="00de1977"/>
    <w:pPr>
      <w:spacing w:lineRule="auto" w:line="240" w:before="0" w:after="0"/>
    </w:pPr>
    <w:rPr>
      <w:rFonts w:ascii="Segoe UI" w:hAnsi="Segoe UI" w:cs="Segoe UI"/>
      <w:sz w:val="18"/>
      <w:szCs w:val="18"/>
    </w:rPr>
  </w:style>
  <w:style w:type="paragraph" w:styleId="DocumentMap" w:customStyle="1">
    <w:name w:val="DocumentMap"/>
    <w:qFormat/>
    <w:pPr>
      <w:widowControl/>
      <w:suppressAutoHyphens w:val="true"/>
      <w:bidi w:val="0"/>
      <w:spacing w:lineRule="auto" w:line="276"/>
      <w:jc w:val="left"/>
    </w:pPr>
    <w:rPr>
      <w:rFonts w:ascii="Times New Roman" w:hAnsi="Times New Roman" w:eastAsia="Cambria Math" w:cs="Times New Roman"/>
      <w:color w:val="00000A"/>
      <w:sz w:val="22"/>
      <w:szCs w:val="20"/>
      <w:lang w:val="fr-FR" w:eastAsia="fr-FR" w:bidi="ar-SA"/>
    </w:rPr>
  </w:style>
  <w:style w:type="paragraph" w:styleId="Corpsdetexte21" w:customStyle="1">
    <w:name w:val="Corps de texte 21"/>
    <w:basedOn w:val="Normal"/>
    <w:qFormat/>
    <w:pPr>
      <w:jc w:val="center"/>
    </w:pPr>
    <w:rPr>
      <w:rFonts w:ascii="Arial" w:hAnsi="Arial" w:cs="Arial"/>
      <w:b/>
      <w:bCs/>
      <w:sz w:val="20"/>
      <w:szCs w:val="24"/>
      <w:lang w:eastAsia="zh-CN" w:bidi="hi-IN"/>
    </w:rPr>
  </w:style>
  <w:style w:type="paragraph" w:styleId="Entte">
    <w:name w:val="En-tête"/>
    <w:basedOn w:val="Normal"/>
    <w:pPr/>
    <w:rPr/>
  </w:style>
  <w:style w:type="numbering" w:styleId="NoList" w:default="1">
    <w:name w:val="No List"/>
    <w:uiPriority w:val="99"/>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923DA-64B0-4A1C-948B-6BFD4D092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LibreOffice/4.4.5.2$Windows_x86 LibreOffice_project/a22f674fd25a3b6f45bdebf25400ed2adff0ff99</Application>
  <Paragraphs>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2020-12-22T18:39:00Z</dcterms:created>
  <dc:creator>maison</dc:creator>
  <dc:language>fr-FR</dc:language>
  <cp:lastPrinted>2021-01-06T10:53:00Z</cp:lastPrinted>
  <dcterms:modified xsi:type="dcterms:W3CDTF">2021-07-01T12:48:09Z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