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5BA" w:rsidRPr="00EF75BA" w:rsidRDefault="00EF75BA" w:rsidP="00EF75BA">
      <w:pPr>
        <w:jc w:val="both"/>
        <w:rPr>
          <w:rFonts w:cs="Arial"/>
          <w:b/>
        </w:rPr>
      </w:pPr>
      <w:r w:rsidRPr="00EF75BA">
        <w:rPr>
          <w:b/>
        </w:rPr>
        <w:t>Objet</w:t>
      </w:r>
      <w:r w:rsidRPr="00EF75BA">
        <w:t> : adaptation de l'organisation de la session d'examens 2021 pour certaines épreuves du baccalauréat technologique série « sciences et technologies de l’agronomie et du vivant (STAV) » dans le cadre de la crise sanitaire liée au coronavirus.</w:t>
      </w:r>
    </w:p>
    <w:p w:rsidR="00EF75BA" w:rsidRPr="00EF75BA" w:rsidRDefault="00EF75BA" w:rsidP="00EF75BA">
      <w:pPr>
        <w:jc w:val="both"/>
        <w:rPr>
          <w:rFonts w:cs="Arial"/>
          <w:b/>
        </w:rPr>
      </w:pPr>
      <w:r w:rsidRPr="00EF75BA">
        <w:rPr>
          <w:rFonts w:cs="Arial"/>
          <w:b/>
        </w:rPr>
        <w:t>Résumé :</w:t>
      </w:r>
    </w:p>
    <w:p w:rsidR="00EF75BA" w:rsidRPr="00EF75BA" w:rsidRDefault="00EF75BA" w:rsidP="00EF75BA">
      <w:pPr>
        <w:jc w:val="both"/>
        <w:rPr>
          <w:rFonts w:cs="Arial"/>
        </w:rPr>
      </w:pPr>
      <w:r w:rsidRPr="00EF75BA">
        <w:rPr>
          <w:rFonts w:cs="Arial"/>
        </w:rPr>
        <w:t>La présente note de service a pour objet de préciser pour la session 2021 l’adaptation de l’organisation des épreuves ponctuelles t</w:t>
      </w:r>
      <w:r w:rsidR="0093108C">
        <w:rPr>
          <w:rFonts w:cs="Arial"/>
        </w:rPr>
        <w:t>erminales anticipées orales de f</w:t>
      </w:r>
      <w:r w:rsidRPr="00EF75BA">
        <w:rPr>
          <w:rFonts w:cs="Arial"/>
        </w:rPr>
        <w:t xml:space="preserve">rançais ainsi que de l’épreuve terminale orale concernant les élèves de baccalauréat technologique série STAV en raison de la crise sanitaire. </w:t>
      </w:r>
    </w:p>
    <w:p w:rsidR="00EF75BA" w:rsidRPr="00EF75BA" w:rsidRDefault="00EF75BA" w:rsidP="00EF75BA">
      <w:pPr>
        <w:jc w:val="both"/>
        <w:rPr>
          <w:rFonts w:cs="Arial"/>
          <w:b/>
          <w:i/>
        </w:rPr>
      </w:pPr>
      <w:r w:rsidRPr="00EF75BA">
        <w:rPr>
          <w:rFonts w:cs="Arial"/>
          <w:b/>
        </w:rPr>
        <w:t xml:space="preserve">                                                                                                                                                                            Textes de référence :</w:t>
      </w:r>
    </w:p>
    <w:p w:rsidR="00EF75BA" w:rsidRPr="00EF75BA" w:rsidRDefault="00EF75BA" w:rsidP="00EF75BA">
      <w:pPr>
        <w:jc w:val="both"/>
      </w:pPr>
      <w:r w:rsidRPr="00EF75BA">
        <w:rPr>
          <w:b/>
        </w:rPr>
        <w:t xml:space="preserve">Note de service DGER/SDPFE/2019-330 du 24 avril 2019 </w:t>
      </w:r>
      <w:r w:rsidRPr="00EF75BA">
        <w:t xml:space="preserve">relative à l’instruction relative aux épreuves obligatoires du premier groupe du baccalauréat technologique, série « sciences et technologies de l’agronomie et du vivant » (STAV) à compter de la session 2021.                                                                            </w:t>
      </w:r>
    </w:p>
    <w:p w:rsidR="00EF75BA" w:rsidRPr="00EF75BA" w:rsidRDefault="00EF75BA" w:rsidP="00EF75BA">
      <w:pPr>
        <w:keepNext/>
        <w:keepLines/>
        <w:spacing w:before="240" w:after="0"/>
        <w:jc w:val="both"/>
        <w:outlineLvl w:val="0"/>
        <w:rPr>
          <w:rFonts w:asciiTheme="majorHAnsi" w:eastAsiaTheme="majorEastAsia" w:hAnsiTheme="majorHAnsi" w:cstheme="majorBidi"/>
          <w:color w:val="00B050"/>
          <w:sz w:val="32"/>
          <w:szCs w:val="32"/>
        </w:rPr>
      </w:pPr>
      <w:r w:rsidRPr="00EF75BA">
        <w:rPr>
          <w:rFonts w:asciiTheme="majorHAnsi" w:eastAsiaTheme="majorEastAsia" w:hAnsiTheme="majorHAnsi" w:cstheme="majorBidi"/>
          <w:color w:val="2E74B5" w:themeColor="accent1" w:themeShade="BF"/>
          <w:sz w:val="32"/>
          <w:szCs w:val="32"/>
        </w:rPr>
        <w:t xml:space="preserve">I - Contexte </w:t>
      </w:r>
    </w:p>
    <w:p w:rsidR="00EF75BA" w:rsidRPr="00EF75BA" w:rsidRDefault="00EF75BA" w:rsidP="00EF75BA">
      <w:pPr>
        <w:jc w:val="both"/>
        <w:rPr>
          <w:rFonts w:cs="Arial"/>
        </w:rPr>
      </w:pPr>
      <w:r w:rsidRPr="00EF75BA">
        <w:rPr>
          <w:rFonts w:cs="Arial"/>
        </w:rPr>
        <w:t>Les épreuves ponctuelles terminales anticipées écrites et orales de français du baccalauréat technologique série STAV sont maintenues en juin 2021 selon le calendrier déjà établi. Consécutivement aux annonces ministérielles du 5 mai 2021 de nouvelles modalités de déroulement de l’épreuve ponctuell</w:t>
      </w:r>
      <w:r w:rsidR="0093108C">
        <w:rPr>
          <w:rFonts w:cs="Arial"/>
        </w:rPr>
        <w:t>e terminale anticipée orale de f</w:t>
      </w:r>
      <w:r w:rsidRPr="00EF75BA">
        <w:rPr>
          <w:rFonts w:cs="Arial"/>
        </w:rPr>
        <w:t>ra</w:t>
      </w:r>
      <w:r w:rsidR="0093108C">
        <w:rPr>
          <w:rFonts w:cs="Arial"/>
        </w:rPr>
        <w:t>nçais et de l’épreuve orale</w:t>
      </w:r>
      <w:r w:rsidRPr="00EF75BA">
        <w:rPr>
          <w:rFonts w:cs="Arial"/>
        </w:rPr>
        <w:t xml:space="preserve"> terminale sont mises en œuvre. Ces aménagements sont présentés ci-après.</w:t>
      </w:r>
    </w:p>
    <w:p w:rsidR="00EF75BA" w:rsidRPr="00EF75BA" w:rsidRDefault="00EF75BA" w:rsidP="00EF75BA">
      <w:pPr>
        <w:keepNext/>
        <w:keepLines/>
        <w:spacing w:before="240" w:after="0"/>
        <w:jc w:val="both"/>
        <w:outlineLvl w:val="0"/>
        <w:rPr>
          <w:rFonts w:asciiTheme="majorHAnsi" w:eastAsiaTheme="majorEastAsia" w:hAnsiTheme="majorHAnsi" w:cstheme="majorBidi"/>
          <w:color w:val="2E74B5" w:themeColor="accent1" w:themeShade="BF"/>
          <w:sz w:val="32"/>
          <w:szCs w:val="32"/>
        </w:rPr>
      </w:pPr>
      <w:r w:rsidRPr="00EF75BA">
        <w:rPr>
          <w:rFonts w:asciiTheme="majorHAnsi" w:eastAsiaTheme="majorEastAsia" w:hAnsiTheme="majorHAnsi" w:cstheme="majorBidi"/>
          <w:color w:val="2E74B5" w:themeColor="accent1" w:themeShade="BF"/>
          <w:sz w:val="32"/>
          <w:szCs w:val="32"/>
        </w:rPr>
        <w:t>II Aménagements de l’épreuve ponctuelle terminale anticipée de Français :</w:t>
      </w:r>
    </w:p>
    <w:p w:rsidR="00EF75BA" w:rsidRPr="00EF75BA" w:rsidRDefault="00EF75BA" w:rsidP="00EF75BA">
      <w:pPr>
        <w:jc w:val="both"/>
      </w:pPr>
    </w:p>
    <w:p w:rsidR="00EF75BA" w:rsidRDefault="00EF75BA" w:rsidP="00EF75BA">
      <w:pPr>
        <w:keepNext/>
        <w:keepLines/>
        <w:numPr>
          <w:ilvl w:val="0"/>
          <w:numId w:val="1"/>
        </w:numPr>
        <w:spacing w:before="40" w:after="0"/>
        <w:jc w:val="both"/>
        <w:outlineLvl w:val="1"/>
        <w:rPr>
          <w:rFonts w:asciiTheme="majorHAnsi" w:hAnsiTheme="majorHAnsi" w:cstheme="majorBidi"/>
          <w:color w:val="2E74B5" w:themeColor="accent1" w:themeShade="BF"/>
          <w:sz w:val="26"/>
          <w:szCs w:val="26"/>
        </w:rPr>
      </w:pPr>
      <w:r w:rsidRPr="00EF75BA">
        <w:rPr>
          <w:rFonts w:asciiTheme="majorHAnsi" w:hAnsiTheme="majorHAnsi" w:cstheme="majorBidi"/>
          <w:color w:val="2E74B5" w:themeColor="accent1" w:themeShade="BF"/>
          <w:sz w:val="26"/>
          <w:szCs w:val="26"/>
        </w:rPr>
        <w:t>Epreuve ponctuelle terminale anticipée écrite : pas de nouvel aménagement</w:t>
      </w:r>
    </w:p>
    <w:p w:rsidR="00EF75BA" w:rsidRPr="004E024B" w:rsidRDefault="00EF75BA" w:rsidP="00EF75BA">
      <w:pPr>
        <w:keepNext/>
        <w:keepLines/>
        <w:spacing w:before="40" w:after="0"/>
        <w:jc w:val="both"/>
        <w:outlineLvl w:val="1"/>
        <w:rPr>
          <w:rFonts w:cs="Arial"/>
        </w:rPr>
      </w:pPr>
      <w:r w:rsidRPr="004E024B">
        <w:rPr>
          <w:rFonts w:cs="Arial"/>
        </w:rPr>
        <w:t xml:space="preserve">Cette partie de l’épreuve ne comporte pas de nouvel aménagement au regard </w:t>
      </w:r>
      <w:r w:rsidR="0093108C" w:rsidRPr="004E024B">
        <w:rPr>
          <w:rFonts w:cs="Arial"/>
        </w:rPr>
        <w:t xml:space="preserve">de ce </w:t>
      </w:r>
      <w:r w:rsidR="004E024B" w:rsidRPr="004E024B">
        <w:rPr>
          <w:rFonts w:cs="Arial"/>
        </w:rPr>
        <w:t>qui</w:t>
      </w:r>
      <w:r w:rsidR="0093108C" w:rsidRPr="004E024B">
        <w:rPr>
          <w:rFonts w:cs="Arial"/>
        </w:rPr>
        <w:t xml:space="preserve"> était déjà prévu par la n</w:t>
      </w:r>
      <w:r w:rsidRPr="004E024B">
        <w:rPr>
          <w:rFonts w:cs="Arial"/>
        </w:rPr>
        <w:t>ote de service DGER/SDPFE/2019-330 du 24/04/2019</w:t>
      </w:r>
      <w:r w:rsidR="00D44D1D" w:rsidRPr="004E024B">
        <w:rPr>
          <w:rFonts w:cs="Arial"/>
        </w:rPr>
        <w:t>.</w:t>
      </w:r>
    </w:p>
    <w:p w:rsidR="00EF75BA" w:rsidRPr="00EF75BA" w:rsidRDefault="00EF75BA" w:rsidP="00EF75BA">
      <w:pPr>
        <w:ind w:left="405"/>
        <w:contextualSpacing/>
        <w:jc w:val="both"/>
        <w:rPr>
          <w:rFonts w:ascii="Arial" w:eastAsia="Calibri" w:hAnsi="Arial" w:cs="Arial"/>
        </w:rPr>
      </w:pPr>
    </w:p>
    <w:p w:rsidR="00D44D1D" w:rsidRPr="00D44D1D" w:rsidRDefault="00EF75BA" w:rsidP="00D44D1D">
      <w:pPr>
        <w:pStyle w:val="Paragraphedeliste"/>
        <w:keepNext/>
        <w:keepLines/>
        <w:numPr>
          <w:ilvl w:val="0"/>
          <w:numId w:val="1"/>
        </w:numPr>
        <w:spacing w:before="40" w:after="0"/>
        <w:jc w:val="both"/>
        <w:outlineLvl w:val="1"/>
        <w:rPr>
          <w:rFonts w:asciiTheme="majorHAnsi" w:hAnsiTheme="majorHAnsi" w:cstheme="majorBidi"/>
          <w:color w:val="2E74B5" w:themeColor="accent1" w:themeShade="BF"/>
          <w:sz w:val="26"/>
          <w:szCs w:val="26"/>
        </w:rPr>
      </w:pPr>
      <w:r w:rsidRPr="00D44D1D">
        <w:rPr>
          <w:rFonts w:asciiTheme="majorHAnsi" w:hAnsiTheme="majorHAnsi" w:cstheme="majorBidi"/>
          <w:color w:val="2E74B5" w:themeColor="accent1" w:themeShade="BF"/>
          <w:sz w:val="26"/>
          <w:szCs w:val="26"/>
        </w:rPr>
        <w:t>Epreuve ponctuelle terminale anticipée orale :</w:t>
      </w:r>
    </w:p>
    <w:p w:rsidR="00EF75BA" w:rsidRPr="00EF75BA" w:rsidRDefault="00EF75BA" w:rsidP="00EF75BA">
      <w:pPr>
        <w:jc w:val="both"/>
        <w:rPr>
          <w:b/>
        </w:rPr>
      </w:pPr>
      <w:r w:rsidRPr="00EF75BA">
        <w:t>La liste des œuvres travaillées pour l’épreuve ponctuelle terminale anticipée orale de français, telle que précisée dans la note de service</w:t>
      </w:r>
      <w:r w:rsidRPr="00EF75BA">
        <w:rPr>
          <w:b/>
        </w:rPr>
        <w:t xml:space="preserve"> DGER/SDPFE/2019-330 du 24 avril 2019</w:t>
      </w:r>
      <w:r w:rsidRPr="001733D6">
        <w:t xml:space="preserve">, </w:t>
      </w:r>
      <w:r w:rsidRPr="00EF75BA">
        <w:t>a été collectée auprès des établissements dans le cas de candidats scolarisés, et sera transmise au jury par les MIREX selon le modèle préconisé dans la note de service</w:t>
      </w:r>
      <w:r w:rsidRPr="00EF75BA">
        <w:rPr>
          <w:b/>
        </w:rPr>
        <w:t xml:space="preserve"> DGER/SDPFE/2019-330 du 24 avril 2019. </w:t>
      </w:r>
    </w:p>
    <w:p w:rsidR="00EF75BA" w:rsidRPr="00EF75BA" w:rsidRDefault="00EF75BA" w:rsidP="00EF75BA">
      <w:pPr>
        <w:jc w:val="both"/>
      </w:pPr>
      <w:r w:rsidRPr="00EF75BA">
        <w:t>Pour cette session 2021, exceptionnellement, le candidat se présente devant le jury muni aussi d’une fiche descriptive établie par son enseignant relative aux sujets traités durant l’année scolaire 2020-2021. Cette fiche précise les modalités de traitement de chaque texte par le professeur, à distance ou en présentiel (se reporter au modèle figurant en annexe 1 de la présente note de service). L’attention des professeurs de lettres est appelée sur la nécessité de remplir cette fiche en reprenant à l’identique la liste d’œuvres étudiées qui a déjà été transmise par les établissements aux MIREX. Si</w:t>
      </w:r>
      <w:r w:rsidR="00D44D1D">
        <w:t xml:space="preserve"> la liste transmise à la MIREX </w:t>
      </w:r>
      <w:r w:rsidRPr="00EF75BA">
        <w:t>contient plus de 1</w:t>
      </w:r>
      <w:r w:rsidR="007D6EF9">
        <w:t xml:space="preserve">0 textes ou moins de 7 textes, </w:t>
      </w:r>
      <w:r w:rsidRPr="00EF75BA">
        <w:t xml:space="preserve">la fiche que le candidat transmet au jury permet de limiter le nombre de textes à 10 maximum. </w:t>
      </w:r>
    </w:p>
    <w:p w:rsidR="00EF75BA" w:rsidRPr="00EF75BA" w:rsidRDefault="00D44D1D" w:rsidP="00EF75BA">
      <w:pPr>
        <w:jc w:val="both"/>
      </w:pPr>
      <w:r>
        <w:t xml:space="preserve">Il </w:t>
      </w:r>
      <w:r w:rsidR="00EF75BA" w:rsidRPr="00EF75BA">
        <w:t xml:space="preserve">revient aux enseignants de lettres de préciser en face de chaque texte sa modalité de traitement. </w:t>
      </w:r>
    </w:p>
    <w:p w:rsidR="00EF75BA" w:rsidRPr="00EF75BA" w:rsidRDefault="00EF75BA" w:rsidP="00EF75BA">
      <w:pPr>
        <w:jc w:val="both"/>
      </w:pPr>
      <w:r w:rsidRPr="00EF75BA">
        <w:lastRenderedPageBreak/>
        <w:t>Cette fiche est signée par le professeur de lettres du candidat et visée par le chef d’établissement. Le candidat remet lui-même cette fiche à son jury lors de son examen oral.</w:t>
      </w:r>
    </w:p>
    <w:p w:rsidR="00EF75BA" w:rsidRPr="00EF75BA" w:rsidRDefault="00EF75BA" w:rsidP="00EF75BA">
      <w:pPr>
        <w:jc w:val="both"/>
      </w:pPr>
      <w:r w:rsidRPr="00EF75BA">
        <w:t xml:space="preserve">Le jour de l’examen l’examinateur choisit deux textes parmi les textes indiqués sur la fiche descriptive et le candidat retient l’un des deux. </w:t>
      </w:r>
    </w:p>
    <w:p w:rsidR="00EF75BA" w:rsidRPr="00EF75BA" w:rsidRDefault="00EF75BA" w:rsidP="00EF75BA">
      <w:pPr>
        <w:jc w:val="both"/>
      </w:pPr>
      <w:r w:rsidRPr="00EF75BA">
        <w:t>L’attention des chefs de centre et des jurys est appelée sur le fait qu’après que le candidat a choisi son texte parmi les deux proposés, le jury lui remet une question par écrit sur le texte choisi, le candidat n’a pas le choix de la question posée par le jury, qui reste souverain dans ses travaux.</w:t>
      </w:r>
    </w:p>
    <w:p w:rsidR="00EF75BA" w:rsidRDefault="00EF75BA" w:rsidP="00EF75BA">
      <w:pPr>
        <w:keepNext/>
        <w:keepLines/>
        <w:spacing w:before="240" w:after="0"/>
        <w:jc w:val="both"/>
        <w:outlineLvl w:val="0"/>
        <w:rPr>
          <w:rFonts w:asciiTheme="majorHAnsi" w:eastAsiaTheme="majorEastAsia" w:hAnsiTheme="majorHAnsi" w:cstheme="majorBidi"/>
          <w:color w:val="2E74B5" w:themeColor="accent1" w:themeShade="BF"/>
          <w:sz w:val="32"/>
          <w:szCs w:val="32"/>
        </w:rPr>
      </w:pPr>
      <w:r w:rsidRPr="00EF75BA">
        <w:rPr>
          <w:rFonts w:asciiTheme="majorHAnsi" w:eastAsiaTheme="majorEastAsia" w:hAnsiTheme="majorHAnsi" w:cstheme="majorBidi"/>
          <w:color w:val="2E74B5" w:themeColor="accent1" w:themeShade="BF"/>
          <w:sz w:val="32"/>
          <w:szCs w:val="32"/>
        </w:rPr>
        <w:t xml:space="preserve">III - L’épreuve orale terminale </w:t>
      </w:r>
    </w:p>
    <w:p w:rsidR="00D44D1D" w:rsidRDefault="00EF75BA" w:rsidP="004118F4">
      <w:pPr>
        <w:keepNext/>
        <w:keepLines/>
        <w:spacing w:before="240" w:after="0"/>
        <w:jc w:val="both"/>
        <w:outlineLvl w:val="0"/>
      </w:pPr>
      <w:r w:rsidRPr="00EF75BA">
        <w:t>L’épreuve orale terminale est maintenue.</w:t>
      </w:r>
      <w:r w:rsidR="004118F4">
        <w:t xml:space="preserve"> </w:t>
      </w:r>
    </w:p>
    <w:p w:rsidR="00D44D1D" w:rsidRDefault="00EF75BA" w:rsidP="004118F4">
      <w:pPr>
        <w:keepNext/>
        <w:keepLines/>
        <w:spacing w:before="240" w:after="0"/>
        <w:jc w:val="both"/>
        <w:outlineLvl w:val="0"/>
      </w:pPr>
      <w:r w:rsidRPr="00EF75BA">
        <w:t xml:space="preserve">L'épreuve orale terminale est une épreuve ponctuelle terminale orale d'une durée de 20 minutes. </w:t>
      </w:r>
      <w:r w:rsidR="004118F4">
        <w:t xml:space="preserve">                                                                                                                                      </w:t>
      </w:r>
      <w:r w:rsidRPr="00EF75BA">
        <w:t>L'épreuve se déroule en deux temps : exposé (10 minutes) et entre</w:t>
      </w:r>
      <w:r w:rsidR="007D6EF9">
        <w:t>tien (</w:t>
      </w:r>
      <w:r w:rsidR="001733D6">
        <w:t xml:space="preserve">10 minutes) dont le choix </w:t>
      </w:r>
      <w:r w:rsidR="0093108C">
        <w:t>du</w:t>
      </w:r>
      <w:r w:rsidRPr="00EF75BA">
        <w:t xml:space="preserve"> </w:t>
      </w:r>
      <w:r>
        <w:t>s</w:t>
      </w:r>
      <w:r w:rsidRPr="00EF75BA">
        <w:t>ujet est fait par l’élève et validé par l’équipe enseignante.</w:t>
      </w:r>
    </w:p>
    <w:p w:rsidR="001733D6" w:rsidRDefault="001733D6" w:rsidP="001733D6">
      <w:pPr>
        <w:jc w:val="both"/>
      </w:pPr>
    </w:p>
    <w:p w:rsidR="001733D6" w:rsidRPr="00BA1516" w:rsidRDefault="001733D6" w:rsidP="001733D6">
      <w:pPr>
        <w:jc w:val="both"/>
        <w:rPr>
          <w:rFonts w:eastAsia="Times New Roman"/>
          <w:highlight w:val="yellow"/>
        </w:rPr>
      </w:pPr>
      <w:r w:rsidRPr="001733D6">
        <w:rPr>
          <w:rFonts w:eastAsia="Times New Roman"/>
        </w:rPr>
        <w:t>Le candidat ne présente pas de support de communication. Il peut s’appuyer sur des fiches constituées de notes personnelles, qu’il pourra apporter avec lui pendant l’épreuve.</w:t>
      </w:r>
    </w:p>
    <w:p w:rsidR="00D44D1D" w:rsidRDefault="00D44D1D" w:rsidP="004118F4">
      <w:pPr>
        <w:keepNext/>
        <w:keepLines/>
        <w:spacing w:before="240" w:after="0"/>
        <w:jc w:val="both"/>
        <w:outlineLvl w:val="0"/>
      </w:pPr>
    </w:p>
    <w:p w:rsidR="00EF75BA" w:rsidRPr="00EF75BA" w:rsidRDefault="00EF75BA" w:rsidP="004118F4">
      <w:pPr>
        <w:keepNext/>
        <w:keepLines/>
        <w:spacing w:before="240" w:after="0"/>
        <w:jc w:val="both"/>
        <w:outlineLvl w:val="0"/>
      </w:pPr>
      <w:r w:rsidRPr="00EF75BA">
        <w:t xml:space="preserve">Pendant la deuxième partie de l’épreuve consistant en un entretien, le candidat peut disposer, à titre exceptionnel pour cette session 2021, s’il le souhaite, de l’usage d’un tableau (noir, blanc ou de type </w:t>
      </w:r>
      <w:proofErr w:type="spellStart"/>
      <w:r w:rsidRPr="00EF75BA">
        <w:t>paper-board</w:t>
      </w:r>
      <w:proofErr w:type="spellEnd"/>
      <w:r w:rsidRPr="00EF75BA">
        <w:t>) mis à sa disposition pour illustrer son propos.</w:t>
      </w:r>
    </w:p>
    <w:p w:rsidR="00EF75BA" w:rsidRPr="00EF75BA" w:rsidRDefault="00EF75BA" w:rsidP="004118F4">
      <w:pPr>
        <w:jc w:val="both"/>
      </w:pPr>
      <w:r w:rsidRPr="00EF75BA">
        <w:t>L’usage d’un tableau par le candidat reste pleinement facultatif et à l’appréciation du candidat ; l’attention des jurys est appelée sur le fait qu’ils ne doivent en aucun cas pénaliser les candidats qui ne feront pas usage du tableau.</w:t>
      </w:r>
    </w:p>
    <w:p w:rsidR="00EF75BA" w:rsidRPr="00EF75BA" w:rsidRDefault="00EF75BA" w:rsidP="004118F4">
      <w:pPr>
        <w:jc w:val="both"/>
      </w:pPr>
      <w:r w:rsidRPr="00EF75BA">
        <w:t xml:space="preserve">L’attention des MIREX est appelée sur la nécessité que les salles dans lesquelles se dérouleront les épreuves orales terminales soient toutes équipées d’un tableau (tableau noir, tableau blanc ou de type </w:t>
      </w:r>
      <w:proofErr w:type="spellStart"/>
      <w:r w:rsidRPr="00EF75BA">
        <w:t>paper-board</w:t>
      </w:r>
      <w:proofErr w:type="spellEnd"/>
      <w:r w:rsidRPr="00EF75BA">
        <w:t>)</w:t>
      </w:r>
      <w:r w:rsidR="00D44D1D">
        <w:t>.</w:t>
      </w:r>
    </w:p>
    <w:p w:rsidR="00EF75BA" w:rsidRPr="00EF75BA" w:rsidRDefault="00EF75BA" w:rsidP="004118F4">
      <w:pPr>
        <w:jc w:val="both"/>
        <w:rPr>
          <w:rFonts w:eastAsia="Times New Roman"/>
          <w:strike/>
          <w:sz w:val="24"/>
          <w:szCs w:val="24"/>
          <w:lang w:eastAsia="fr-FR"/>
        </w:rPr>
      </w:pPr>
      <w:r w:rsidRPr="00EF75BA">
        <w:t>Il est fait rappel ici que l’épreuve orale terminale ne vise pas la vérification des connaissances du candidat mais la cohérence de sa réflexion, sa capacité d’investigation et son engagement</w:t>
      </w:r>
      <w:r w:rsidR="00D44D1D">
        <w:t>.</w:t>
      </w:r>
    </w:p>
    <w:p w:rsidR="00EF75BA" w:rsidRPr="004E70B3" w:rsidRDefault="00EF75BA" w:rsidP="004118F4">
      <w:pPr>
        <w:jc w:val="both"/>
      </w:pPr>
      <w:r w:rsidRPr="004E70B3">
        <w:t>Je vous remercie de mettre en œuvre ces instructions et de me faire part de toute difficulté éventuelle dans leur mise en application.</w:t>
      </w:r>
    </w:p>
    <w:p w:rsidR="007B22DE" w:rsidRDefault="007B22DE" w:rsidP="004118F4">
      <w:pPr>
        <w:jc w:val="both"/>
        <w:rPr>
          <w:rFonts w:eastAsia="Times New Roman"/>
          <w:sz w:val="24"/>
          <w:szCs w:val="24"/>
          <w:lang w:eastAsia="fr-FR"/>
        </w:rPr>
      </w:pPr>
    </w:p>
    <w:p w:rsidR="004E70B3" w:rsidRDefault="004E70B3" w:rsidP="004118F4">
      <w:pPr>
        <w:jc w:val="both"/>
        <w:rPr>
          <w:rFonts w:eastAsia="Times New Roman"/>
          <w:sz w:val="24"/>
          <w:szCs w:val="24"/>
          <w:lang w:eastAsia="fr-FR"/>
        </w:rPr>
      </w:pPr>
    </w:p>
    <w:p w:rsidR="00EF75BA" w:rsidRPr="00EF75BA" w:rsidRDefault="00D44D1D" w:rsidP="00D44D1D">
      <w:pPr>
        <w:rPr>
          <w:rFonts w:eastAsia="Times New Roman"/>
          <w:sz w:val="24"/>
          <w:szCs w:val="24"/>
          <w:lang w:eastAsia="fr-FR"/>
        </w:rPr>
      </w:pPr>
      <w:r>
        <w:rPr>
          <w:rFonts w:eastAsia="Times New Roman"/>
          <w:sz w:val="24"/>
          <w:szCs w:val="24"/>
          <w:lang w:eastAsia="fr-FR"/>
        </w:rPr>
        <w:t xml:space="preserve">                                                        </w:t>
      </w:r>
      <w:r w:rsidR="00EF75BA" w:rsidRPr="00EF75BA">
        <w:rPr>
          <w:rFonts w:eastAsia="Times New Roman"/>
          <w:sz w:val="24"/>
          <w:szCs w:val="24"/>
          <w:lang w:eastAsia="fr-FR"/>
        </w:rPr>
        <w:t>La directrice générale de l’enseignement et de la recherche</w:t>
      </w:r>
    </w:p>
    <w:p w:rsidR="00EF75BA" w:rsidRPr="00EF75BA" w:rsidRDefault="00D44D1D" w:rsidP="00EF75BA">
      <w:pPr>
        <w:jc w:val="center"/>
        <w:rPr>
          <w:rFonts w:eastAsia="Times New Roman"/>
          <w:sz w:val="24"/>
          <w:szCs w:val="24"/>
          <w:lang w:eastAsia="fr-FR"/>
        </w:rPr>
      </w:pPr>
      <w:r>
        <w:rPr>
          <w:rFonts w:eastAsia="Times New Roman"/>
          <w:sz w:val="24"/>
          <w:szCs w:val="24"/>
          <w:lang w:eastAsia="fr-FR"/>
        </w:rPr>
        <w:t xml:space="preserve">                                                                      </w:t>
      </w:r>
      <w:r w:rsidR="00EF75BA" w:rsidRPr="00EF75BA">
        <w:rPr>
          <w:rFonts w:eastAsia="Times New Roman"/>
          <w:sz w:val="24"/>
          <w:szCs w:val="24"/>
          <w:lang w:eastAsia="fr-FR"/>
        </w:rPr>
        <w:t>Valérie BADUEL</w:t>
      </w:r>
    </w:p>
    <w:p w:rsidR="00EF75BA" w:rsidRPr="00EF75BA" w:rsidRDefault="00EF75BA" w:rsidP="00EF75BA">
      <w:pPr>
        <w:jc w:val="both"/>
        <w:rPr>
          <w:rFonts w:eastAsia="Times New Roman"/>
          <w:sz w:val="24"/>
          <w:szCs w:val="24"/>
          <w:lang w:eastAsia="fr-FR"/>
        </w:rPr>
      </w:pPr>
    </w:p>
    <w:p w:rsidR="00EF75BA" w:rsidRPr="00EF75BA" w:rsidRDefault="00EF75BA" w:rsidP="00EF75BA">
      <w:pPr>
        <w:jc w:val="both"/>
        <w:rPr>
          <w:rFonts w:eastAsia="Times New Roman"/>
          <w:sz w:val="24"/>
          <w:szCs w:val="24"/>
          <w:lang w:eastAsia="fr-FR"/>
        </w:rPr>
      </w:pPr>
    </w:p>
    <w:p w:rsidR="00306381" w:rsidRDefault="0093108C" w:rsidP="00EF75BA">
      <w:pPr>
        <w:rPr>
          <w:rFonts w:eastAsia="Times New Roman"/>
          <w:b/>
          <w:sz w:val="24"/>
          <w:szCs w:val="24"/>
          <w:lang w:eastAsia="fr-FR"/>
        </w:rPr>
      </w:pPr>
      <w:r>
        <w:rPr>
          <w:noProof/>
          <w:lang w:eastAsia="fr-FR"/>
        </w:rPr>
        <w:lastRenderedPageBreak/>
        <w:drawing>
          <wp:inline distT="0" distB="0" distL="0" distR="0" wp14:anchorId="3373D1D8" wp14:editId="2AE27FFF">
            <wp:extent cx="1971675" cy="907187"/>
            <wp:effectExtent l="0" t="0" r="0" b="7620"/>
            <wp:docPr id="4" name="Image 4" descr="Accueil - Ministère de l'Agriculture et de l'Alimen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cueil - Ministère de l'Agriculture et de l'Alimenta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0719" cy="971163"/>
                    </a:xfrm>
                    <a:prstGeom prst="rect">
                      <a:avLst/>
                    </a:prstGeom>
                    <a:noFill/>
                    <a:ln>
                      <a:noFill/>
                    </a:ln>
                  </pic:spPr>
                </pic:pic>
              </a:graphicData>
            </a:graphic>
          </wp:inline>
        </w:drawing>
      </w:r>
      <w:r>
        <w:rPr>
          <w:rFonts w:eastAsia="Times New Roman"/>
          <w:b/>
          <w:sz w:val="24"/>
          <w:szCs w:val="24"/>
          <w:lang w:eastAsia="fr-FR"/>
        </w:rPr>
        <w:t xml:space="preserve">              </w:t>
      </w:r>
    </w:p>
    <w:p w:rsidR="00EF75BA" w:rsidRPr="00EF75BA" w:rsidRDefault="00EF75BA" w:rsidP="00306381">
      <w:pPr>
        <w:ind w:left="-426"/>
        <w:jc w:val="center"/>
        <w:rPr>
          <w:b/>
        </w:rPr>
      </w:pPr>
      <w:r w:rsidRPr="00EF75BA">
        <w:rPr>
          <w:rFonts w:eastAsia="Times New Roman"/>
          <w:b/>
          <w:sz w:val="24"/>
          <w:szCs w:val="24"/>
          <w:lang w:eastAsia="fr-FR"/>
        </w:rPr>
        <w:t>Annexe 1</w:t>
      </w:r>
    </w:p>
    <w:p w:rsidR="00EF75BA" w:rsidRPr="00EF75BA" w:rsidRDefault="00EF75BA" w:rsidP="00306381">
      <w:pPr>
        <w:ind w:left="-426"/>
        <w:jc w:val="both"/>
      </w:pPr>
      <w:r w:rsidRPr="00EF75BA">
        <w:rPr>
          <w:b/>
        </w:rPr>
        <w:t>Modèle de fiche descriptive des textes étudiés</w:t>
      </w:r>
      <w:r w:rsidR="0093108C">
        <w:rPr>
          <w:b/>
        </w:rPr>
        <w:t xml:space="preserve"> en classe de première du baccalauréat technologique série STAV </w:t>
      </w:r>
      <w:r w:rsidRPr="00EF75BA">
        <w:rPr>
          <w:b/>
        </w:rPr>
        <w:t>et modalités</w:t>
      </w:r>
      <w:r w:rsidR="0093108C">
        <w:rPr>
          <w:b/>
        </w:rPr>
        <w:t xml:space="preserve"> </w:t>
      </w:r>
      <w:r w:rsidRPr="00EF75BA">
        <w:rPr>
          <w:b/>
        </w:rPr>
        <w:t>selon lesquelles chaque texte a é</w:t>
      </w:r>
      <w:r w:rsidR="0093108C">
        <w:rPr>
          <w:b/>
        </w:rPr>
        <w:t xml:space="preserve">té étudié </w:t>
      </w:r>
    </w:p>
    <w:tbl>
      <w:tblPr>
        <w:tblStyle w:val="Grilledutableau"/>
        <w:tblW w:w="10060" w:type="dxa"/>
        <w:jc w:val="center"/>
        <w:tblLook w:val="04A0" w:firstRow="1" w:lastRow="0" w:firstColumn="1" w:lastColumn="0" w:noHBand="0" w:noVBand="1"/>
      </w:tblPr>
      <w:tblGrid>
        <w:gridCol w:w="10060"/>
      </w:tblGrid>
      <w:tr w:rsidR="00EF75BA" w:rsidRPr="00EF75BA" w:rsidTr="00306381">
        <w:trPr>
          <w:jc w:val="center"/>
        </w:trPr>
        <w:tc>
          <w:tcPr>
            <w:tcW w:w="10060" w:type="dxa"/>
          </w:tcPr>
          <w:p w:rsidR="00EF75BA" w:rsidRPr="00EF75BA" w:rsidRDefault="00EF75BA" w:rsidP="00EF75BA">
            <w:pPr>
              <w:jc w:val="both"/>
              <w:rPr>
                <w:b/>
              </w:rPr>
            </w:pPr>
            <w:r w:rsidRPr="00EF75BA">
              <w:rPr>
                <w:b/>
              </w:rPr>
              <w:t xml:space="preserve">NOM DU CANDIDAT : </w:t>
            </w:r>
          </w:p>
          <w:p w:rsidR="00EF75BA" w:rsidRPr="00EF75BA" w:rsidRDefault="00EF75BA" w:rsidP="00EF75BA">
            <w:pPr>
              <w:jc w:val="both"/>
              <w:rPr>
                <w:b/>
              </w:rPr>
            </w:pPr>
          </w:p>
        </w:tc>
      </w:tr>
      <w:tr w:rsidR="00EF75BA" w:rsidRPr="00EF75BA" w:rsidTr="004A6BB5">
        <w:trPr>
          <w:trHeight w:val="699"/>
          <w:jc w:val="center"/>
        </w:trPr>
        <w:tc>
          <w:tcPr>
            <w:tcW w:w="10060" w:type="dxa"/>
          </w:tcPr>
          <w:p w:rsidR="00EF75BA" w:rsidRPr="00EF75BA" w:rsidRDefault="00EF75BA" w:rsidP="00EF75BA">
            <w:pPr>
              <w:jc w:val="both"/>
              <w:rPr>
                <w:b/>
              </w:rPr>
            </w:pPr>
            <w:r w:rsidRPr="00EF75BA">
              <w:rPr>
                <w:b/>
              </w:rPr>
              <w:t>SIGNATURE DU PROFESSEUR DE LETTRES DU CANDIDAT :</w:t>
            </w:r>
            <w:bookmarkStart w:id="0" w:name="_GoBack"/>
            <w:bookmarkEnd w:id="0"/>
          </w:p>
          <w:p w:rsidR="00EF75BA" w:rsidRPr="00EF75BA" w:rsidRDefault="00EF75BA" w:rsidP="00EF75BA">
            <w:pPr>
              <w:jc w:val="both"/>
            </w:pPr>
          </w:p>
          <w:p w:rsidR="00EF75BA" w:rsidRPr="00EF75BA" w:rsidRDefault="00EF75BA" w:rsidP="00EF75BA">
            <w:pPr>
              <w:jc w:val="both"/>
            </w:pPr>
          </w:p>
          <w:p w:rsidR="00EF75BA" w:rsidRPr="00EF75BA" w:rsidRDefault="00EF75BA" w:rsidP="00EF75BA">
            <w:pPr>
              <w:jc w:val="both"/>
            </w:pPr>
          </w:p>
        </w:tc>
      </w:tr>
      <w:tr w:rsidR="00EF75BA" w:rsidRPr="00EF75BA" w:rsidTr="00306381">
        <w:trPr>
          <w:jc w:val="center"/>
        </w:trPr>
        <w:tc>
          <w:tcPr>
            <w:tcW w:w="10060" w:type="dxa"/>
          </w:tcPr>
          <w:p w:rsidR="00EF75BA" w:rsidRPr="00EF75BA" w:rsidRDefault="00EF75BA" w:rsidP="00EF75BA">
            <w:pPr>
              <w:jc w:val="both"/>
              <w:rPr>
                <w:b/>
              </w:rPr>
            </w:pPr>
            <w:r w:rsidRPr="00EF75BA">
              <w:rPr>
                <w:b/>
              </w:rPr>
              <w:t>VISA DU CHEF D’ETABLISSEMENT :</w:t>
            </w:r>
          </w:p>
          <w:p w:rsidR="00EF75BA" w:rsidRPr="00EF75BA" w:rsidRDefault="00EF75BA" w:rsidP="00EF75BA">
            <w:pPr>
              <w:jc w:val="both"/>
              <w:rPr>
                <w:b/>
              </w:rPr>
            </w:pPr>
          </w:p>
          <w:p w:rsidR="00EF75BA" w:rsidRPr="00EF75BA" w:rsidRDefault="00EF75BA" w:rsidP="00EF75BA">
            <w:pPr>
              <w:jc w:val="both"/>
              <w:rPr>
                <w:b/>
              </w:rPr>
            </w:pPr>
          </w:p>
        </w:tc>
      </w:tr>
    </w:tbl>
    <w:p w:rsidR="00EF75BA" w:rsidRDefault="00EF75BA" w:rsidP="00EF75BA">
      <w:pPr>
        <w:jc w:val="both"/>
        <w:rPr>
          <w:b/>
          <w:u w:val="single"/>
        </w:rPr>
      </w:pPr>
    </w:p>
    <w:tbl>
      <w:tblPr>
        <w:tblStyle w:val="Grilledutableau1"/>
        <w:tblW w:w="9351" w:type="dxa"/>
        <w:jc w:val="center"/>
        <w:tblCellMar>
          <w:left w:w="103" w:type="dxa"/>
        </w:tblCellMar>
        <w:tblLook w:val="04A0" w:firstRow="1" w:lastRow="0" w:firstColumn="1" w:lastColumn="0" w:noHBand="0" w:noVBand="1"/>
      </w:tblPr>
      <w:tblGrid>
        <w:gridCol w:w="5381"/>
        <w:gridCol w:w="1984"/>
        <w:gridCol w:w="1986"/>
      </w:tblGrid>
      <w:tr w:rsidR="00EF75BA" w:rsidRPr="00EF75BA" w:rsidTr="004A6BB5">
        <w:trPr>
          <w:jc w:val="center"/>
        </w:trPr>
        <w:tc>
          <w:tcPr>
            <w:tcW w:w="5381" w:type="dxa"/>
            <w:vMerge w:val="restart"/>
            <w:shd w:val="clear" w:color="auto" w:fill="auto"/>
            <w:tcMar>
              <w:left w:w="103" w:type="dxa"/>
            </w:tcMar>
            <w:vAlign w:val="center"/>
          </w:tcPr>
          <w:p w:rsidR="00EF75BA" w:rsidRPr="00EF75BA" w:rsidRDefault="00EF75BA" w:rsidP="004A6BB5">
            <w:pPr>
              <w:suppressAutoHyphens/>
              <w:jc w:val="center"/>
              <w:rPr>
                <w:b/>
                <w:color w:val="00000A"/>
              </w:rPr>
            </w:pPr>
            <w:r w:rsidRPr="00EF75BA">
              <w:rPr>
                <w:b/>
                <w:color w:val="00000A"/>
              </w:rPr>
              <w:t>Liste des textes mentionnant pour chaque texte</w:t>
            </w:r>
          </w:p>
          <w:p w:rsidR="00EF75BA" w:rsidRPr="00EF75BA" w:rsidRDefault="007D6EF9" w:rsidP="004A6BB5">
            <w:pPr>
              <w:suppressAutoHyphens/>
              <w:jc w:val="center"/>
              <w:rPr>
                <w:b/>
                <w:color w:val="00000A"/>
              </w:rPr>
            </w:pPr>
            <w:r>
              <w:rPr>
                <w:b/>
                <w:color w:val="00000A"/>
              </w:rPr>
              <w:t xml:space="preserve">Titre – Auteur - </w:t>
            </w:r>
            <w:r w:rsidRPr="00EF75BA">
              <w:rPr>
                <w:b/>
                <w:color w:val="00000A"/>
              </w:rPr>
              <w:t>œuvre</w:t>
            </w:r>
            <w:r w:rsidR="00EF75BA" w:rsidRPr="00EF75BA">
              <w:rPr>
                <w:b/>
                <w:color w:val="00000A"/>
              </w:rPr>
              <w:t xml:space="preserve"> </w:t>
            </w:r>
            <w:r>
              <w:rPr>
                <w:b/>
                <w:color w:val="00000A"/>
              </w:rPr>
              <w:t xml:space="preserve">  </w:t>
            </w:r>
            <w:r w:rsidR="00EF75BA" w:rsidRPr="00EF75BA">
              <w:rPr>
                <w:b/>
                <w:color w:val="00000A"/>
              </w:rPr>
              <w:t>dont le texte est extrait</w:t>
            </w:r>
          </w:p>
          <w:p w:rsidR="00EF75BA" w:rsidRPr="00EF75BA" w:rsidRDefault="00EF75BA" w:rsidP="004A6BB5">
            <w:pPr>
              <w:suppressAutoHyphens/>
              <w:jc w:val="center"/>
              <w:rPr>
                <w:b/>
                <w:color w:val="00000A"/>
                <w:u w:val="single"/>
              </w:rPr>
            </w:pPr>
            <w:r w:rsidRPr="00EF75BA">
              <w:rPr>
                <w:b/>
                <w:color w:val="00000A"/>
              </w:rPr>
              <w:t>Titre de la séquence à laquelle le texte appartenait</w:t>
            </w:r>
          </w:p>
        </w:tc>
        <w:tc>
          <w:tcPr>
            <w:tcW w:w="3970" w:type="dxa"/>
            <w:gridSpan w:val="2"/>
            <w:shd w:val="clear" w:color="auto" w:fill="auto"/>
            <w:tcMar>
              <w:left w:w="103" w:type="dxa"/>
            </w:tcMar>
            <w:vAlign w:val="center"/>
          </w:tcPr>
          <w:p w:rsidR="00EF75BA" w:rsidRPr="00EF75BA" w:rsidRDefault="00EF75BA" w:rsidP="004A6BB5">
            <w:pPr>
              <w:suppressAutoHyphens/>
              <w:jc w:val="center"/>
              <w:rPr>
                <w:b/>
                <w:color w:val="00000A"/>
              </w:rPr>
            </w:pPr>
            <w:r w:rsidRPr="00EF75BA">
              <w:rPr>
                <w:b/>
                <w:color w:val="00000A"/>
              </w:rPr>
              <w:t>Modalité de traitement de la séquence</w:t>
            </w:r>
          </w:p>
          <w:p w:rsidR="00EF75BA" w:rsidRPr="00EF75BA" w:rsidRDefault="004A6BB5" w:rsidP="004A6BB5">
            <w:pPr>
              <w:suppressAutoHyphens/>
              <w:jc w:val="center"/>
              <w:rPr>
                <w:b/>
                <w:color w:val="00000A"/>
              </w:rPr>
            </w:pPr>
            <w:r>
              <w:rPr>
                <w:b/>
                <w:color w:val="00000A"/>
              </w:rPr>
              <w:t>(</w:t>
            </w:r>
            <w:r w:rsidR="00EF75BA" w:rsidRPr="00EF75BA">
              <w:rPr>
                <w:b/>
                <w:color w:val="00000A"/>
              </w:rPr>
              <w:t>en présentiel</w:t>
            </w:r>
            <w:r w:rsidR="0093108C">
              <w:rPr>
                <w:b/>
                <w:color w:val="00000A"/>
              </w:rPr>
              <w:t xml:space="preserve"> ou à distance</w:t>
            </w:r>
            <w:r>
              <w:rPr>
                <w:b/>
                <w:color w:val="00000A"/>
              </w:rPr>
              <w:t>)</w:t>
            </w:r>
          </w:p>
        </w:tc>
      </w:tr>
      <w:tr w:rsidR="00EF75BA" w:rsidRPr="00EF75BA" w:rsidTr="004A6BB5">
        <w:trPr>
          <w:trHeight w:val="414"/>
          <w:jc w:val="center"/>
        </w:trPr>
        <w:tc>
          <w:tcPr>
            <w:tcW w:w="5381" w:type="dxa"/>
            <w:vMerge/>
            <w:tcBorders>
              <w:top w:val="nil"/>
            </w:tcBorders>
            <w:shd w:val="clear" w:color="auto" w:fill="auto"/>
            <w:tcMar>
              <w:left w:w="103" w:type="dxa"/>
            </w:tcMar>
          </w:tcPr>
          <w:p w:rsidR="00EF75BA" w:rsidRPr="00EF75BA" w:rsidRDefault="00EF75BA" w:rsidP="004A6BB5">
            <w:pPr>
              <w:suppressAutoHyphens/>
              <w:jc w:val="center"/>
              <w:rPr>
                <w:color w:val="00000A"/>
              </w:rPr>
            </w:pPr>
          </w:p>
        </w:tc>
        <w:tc>
          <w:tcPr>
            <w:tcW w:w="1984" w:type="dxa"/>
            <w:tcBorders>
              <w:top w:val="nil"/>
              <w:left w:val="nil"/>
              <w:right w:val="nil"/>
            </w:tcBorders>
            <w:shd w:val="clear" w:color="auto" w:fill="auto"/>
            <w:vAlign w:val="center"/>
          </w:tcPr>
          <w:p w:rsidR="00EF75BA" w:rsidRPr="00EF75BA" w:rsidRDefault="00EF75BA" w:rsidP="004A6BB5">
            <w:pPr>
              <w:suppressAutoHyphens/>
              <w:jc w:val="center"/>
              <w:rPr>
                <w:color w:val="00000A"/>
              </w:rPr>
            </w:pPr>
            <w:r w:rsidRPr="00EF75BA">
              <w:rPr>
                <w:color w:val="00000A"/>
              </w:rPr>
              <w:t>Présentiel</w:t>
            </w:r>
          </w:p>
        </w:tc>
        <w:tc>
          <w:tcPr>
            <w:tcW w:w="1986" w:type="dxa"/>
            <w:tcBorders>
              <w:top w:val="nil"/>
            </w:tcBorders>
            <w:shd w:val="clear" w:color="auto" w:fill="auto"/>
            <w:tcMar>
              <w:left w:w="103" w:type="dxa"/>
            </w:tcMar>
            <w:vAlign w:val="center"/>
          </w:tcPr>
          <w:p w:rsidR="007D6EF9" w:rsidRPr="00EF75BA" w:rsidRDefault="0093108C" w:rsidP="004A6BB5">
            <w:pPr>
              <w:suppressAutoHyphens/>
              <w:jc w:val="center"/>
              <w:rPr>
                <w:color w:val="00000A"/>
              </w:rPr>
            </w:pPr>
            <w:r>
              <w:rPr>
                <w:color w:val="00000A"/>
              </w:rPr>
              <w:t>À distance</w:t>
            </w:r>
          </w:p>
        </w:tc>
      </w:tr>
      <w:tr w:rsidR="00EF75BA" w:rsidRPr="00EF75BA" w:rsidTr="00306381">
        <w:trPr>
          <w:jc w:val="center"/>
        </w:trPr>
        <w:tc>
          <w:tcPr>
            <w:tcW w:w="5381" w:type="dxa"/>
            <w:shd w:val="clear" w:color="auto" w:fill="auto"/>
            <w:tcMar>
              <w:left w:w="103" w:type="dxa"/>
            </w:tcMar>
          </w:tcPr>
          <w:p w:rsidR="00EF75BA" w:rsidRPr="00EF75BA" w:rsidRDefault="00EF75BA" w:rsidP="00EF75BA">
            <w:pPr>
              <w:suppressAutoHyphens/>
              <w:jc w:val="both"/>
              <w:rPr>
                <w:color w:val="00000A"/>
                <w:u w:val="single"/>
              </w:rPr>
            </w:pPr>
            <w:r w:rsidRPr="00EF75BA">
              <w:rPr>
                <w:color w:val="00000A"/>
                <w:u w:val="single"/>
              </w:rPr>
              <w:t>Texte numéro 1</w:t>
            </w:r>
          </w:p>
          <w:p w:rsidR="00EF75BA" w:rsidRPr="00EF75BA" w:rsidRDefault="00EF75BA" w:rsidP="00EF75BA">
            <w:pPr>
              <w:suppressAutoHyphens/>
              <w:jc w:val="both"/>
              <w:rPr>
                <w:color w:val="00000A"/>
                <w:u w:val="single"/>
              </w:rPr>
            </w:pPr>
          </w:p>
          <w:p w:rsidR="00EF75BA" w:rsidRPr="00EF75BA" w:rsidRDefault="00EF75BA" w:rsidP="00EF75BA">
            <w:pPr>
              <w:suppressAutoHyphens/>
              <w:jc w:val="both"/>
              <w:rPr>
                <w:color w:val="00000A"/>
                <w:u w:val="single"/>
              </w:rPr>
            </w:pPr>
          </w:p>
        </w:tc>
        <w:tc>
          <w:tcPr>
            <w:tcW w:w="1984" w:type="dxa"/>
            <w:tcBorders>
              <w:left w:val="nil"/>
              <w:right w:val="nil"/>
            </w:tcBorders>
            <w:shd w:val="clear" w:color="auto" w:fill="auto"/>
          </w:tcPr>
          <w:p w:rsidR="00EF75BA" w:rsidRPr="00EF75BA" w:rsidRDefault="00EF75BA" w:rsidP="00EF75BA">
            <w:pPr>
              <w:suppressAutoHyphens/>
              <w:jc w:val="both"/>
              <w:rPr>
                <w:color w:val="00000A"/>
                <w:u w:val="single"/>
              </w:rPr>
            </w:pPr>
          </w:p>
        </w:tc>
        <w:tc>
          <w:tcPr>
            <w:tcW w:w="1986" w:type="dxa"/>
            <w:shd w:val="clear" w:color="auto" w:fill="auto"/>
            <w:tcMar>
              <w:left w:w="103" w:type="dxa"/>
            </w:tcMar>
          </w:tcPr>
          <w:p w:rsidR="00EF75BA" w:rsidRPr="00EF75BA" w:rsidRDefault="00EF75BA" w:rsidP="00EF75BA">
            <w:pPr>
              <w:suppressAutoHyphens/>
              <w:jc w:val="both"/>
              <w:rPr>
                <w:color w:val="00000A"/>
                <w:u w:val="single"/>
              </w:rPr>
            </w:pPr>
          </w:p>
        </w:tc>
      </w:tr>
      <w:tr w:rsidR="00EF75BA" w:rsidRPr="00EF75BA" w:rsidTr="00306381">
        <w:trPr>
          <w:jc w:val="center"/>
        </w:trPr>
        <w:tc>
          <w:tcPr>
            <w:tcW w:w="5381" w:type="dxa"/>
            <w:shd w:val="clear" w:color="auto" w:fill="auto"/>
            <w:tcMar>
              <w:left w:w="103" w:type="dxa"/>
            </w:tcMar>
          </w:tcPr>
          <w:p w:rsidR="00EF75BA" w:rsidRPr="00EF75BA" w:rsidRDefault="00EF75BA" w:rsidP="00EF75BA">
            <w:pPr>
              <w:suppressAutoHyphens/>
              <w:jc w:val="both"/>
              <w:rPr>
                <w:color w:val="00000A"/>
                <w:u w:val="single"/>
              </w:rPr>
            </w:pPr>
            <w:r w:rsidRPr="00EF75BA">
              <w:rPr>
                <w:color w:val="00000A"/>
                <w:u w:val="single"/>
              </w:rPr>
              <w:t>Texte numéro 2</w:t>
            </w:r>
          </w:p>
          <w:p w:rsidR="00EF75BA" w:rsidRPr="00EF75BA" w:rsidRDefault="00EF75BA" w:rsidP="00EF75BA">
            <w:pPr>
              <w:suppressAutoHyphens/>
              <w:jc w:val="both"/>
              <w:rPr>
                <w:color w:val="00000A"/>
                <w:u w:val="single"/>
              </w:rPr>
            </w:pPr>
          </w:p>
          <w:p w:rsidR="00EF75BA" w:rsidRPr="00EF75BA" w:rsidRDefault="00EF75BA" w:rsidP="00EF75BA">
            <w:pPr>
              <w:suppressAutoHyphens/>
              <w:jc w:val="both"/>
              <w:rPr>
                <w:color w:val="00000A"/>
                <w:u w:val="single"/>
              </w:rPr>
            </w:pPr>
          </w:p>
        </w:tc>
        <w:tc>
          <w:tcPr>
            <w:tcW w:w="1984" w:type="dxa"/>
            <w:tcBorders>
              <w:left w:val="nil"/>
              <w:right w:val="nil"/>
            </w:tcBorders>
            <w:shd w:val="clear" w:color="auto" w:fill="auto"/>
          </w:tcPr>
          <w:p w:rsidR="00EF75BA" w:rsidRPr="00EF75BA" w:rsidRDefault="00EF75BA" w:rsidP="00EF75BA">
            <w:pPr>
              <w:suppressAutoHyphens/>
              <w:jc w:val="both"/>
              <w:rPr>
                <w:color w:val="00000A"/>
                <w:u w:val="single"/>
              </w:rPr>
            </w:pPr>
          </w:p>
        </w:tc>
        <w:tc>
          <w:tcPr>
            <w:tcW w:w="1986" w:type="dxa"/>
            <w:shd w:val="clear" w:color="auto" w:fill="auto"/>
            <w:tcMar>
              <w:left w:w="103" w:type="dxa"/>
            </w:tcMar>
          </w:tcPr>
          <w:p w:rsidR="00EF75BA" w:rsidRPr="00EF75BA" w:rsidRDefault="00EF75BA" w:rsidP="00EF75BA">
            <w:pPr>
              <w:suppressAutoHyphens/>
              <w:jc w:val="both"/>
              <w:rPr>
                <w:color w:val="00000A"/>
                <w:u w:val="single"/>
              </w:rPr>
            </w:pPr>
          </w:p>
        </w:tc>
      </w:tr>
      <w:tr w:rsidR="00EF75BA" w:rsidRPr="00EF75BA" w:rsidTr="00306381">
        <w:trPr>
          <w:jc w:val="center"/>
        </w:trPr>
        <w:tc>
          <w:tcPr>
            <w:tcW w:w="5381" w:type="dxa"/>
            <w:shd w:val="clear" w:color="auto" w:fill="auto"/>
            <w:tcMar>
              <w:left w:w="103" w:type="dxa"/>
            </w:tcMar>
          </w:tcPr>
          <w:p w:rsidR="00EF75BA" w:rsidRPr="00EF75BA" w:rsidRDefault="00EF75BA" w:rsidP="00EF75BA">
            <w:pPr>
              <w:suppressAutoHyphens/>
              <w:jc w:val="both"/>
              <w:rPr>
                <w:color w:val="00000A"/>
                <w:u w:val="single"/>
              </w:rPr>
            </w:pPr>
            <w:r w:rsidRPr="00EF75BA">
              <w:rPr>
                <w:color w:val="00000A"/>
                <w:u w:val="single"/>
              </w:rPr>
              <w:t>Texte numéro 3</w:t>
            </w:r>
          </w:p>
          <w:p w:rsidR="00EF75BA" w:rsidRPr="00EF75BA" w:rsidRDefault="00EF75BA" w:rsidP="00EF75BA">
            <w:pPr>
              <w:suppressAutoHyphens/>
              <w:jc w:val="both"/>
              <w:rPr>
                <w:color w:val="00000A"/>
                <w:u w:val="single"/>
              </w:rPr>
            </w:pPr>
          </w:p>
          <w:p w:rsidR="00EF75BA" w:rsidRPr="00EF75BA" w:rsidRDefault="00EF75BA" w:rsidP="00EF75BA">
            <w:pPr>
              <w:suppressAutoHyphens/>
              <w:jc w:val="both"/>
              <w:rPr>
                <w:color w:val="00000A"/>
                <w:u w:val="single"/>
              </w:rPr>
            </w:pPr>
          </w:p>
        </w:tc>
        <w:tc>
          <w:tcPr>
            <w:tcW w:w="1984" w:type="dxa"/>
            <w:tcBorders>
              <w:left w:val="nil"/>
              <w:right w:val="nil"/>
            </w:tcBorders>
            <w:shd w:val="clear" w:color="auto" w:fill="auto"/>
          </w:tcPr>
          <w:p w:rsidR="00EF75BA" w:rsidRPr="00EF75BA" w:rsidRDefault="00EF75BA" w:rsidP="00EF75BA">
            <w:pPr>
              <w:suppressAutoHyphens/>
              <w:jc w:val="both"/>
              <w:rPr>
                <w:color w:val="00000A"/>
                <w:u w:val="single"/>
              </w:rPr>
            </w:pPr>
          </w:p>
        </w:tc>
        <w:tc>
          <w:tcPr>
            <w:tcW w:w="1986" w:type="dxa"/>
            <w:shd w:val="clear" w:color="auto" w:fill="auto"/>
            <w:tcMar>
              <w:left w:w="103" w:type="dxa"/>
            </w:tcMar>
          </w:tcPr>
          <w:p w:rsidR="00EF75BA" w:rsidRPr="00EF75BA" w:rsidRDefault="00EF75BA" w:rsidP="00EF75BA">
            <w:pPr>
              <w:suppressAutoHyphens/>
              <w:jc w:val="both"/>
              <w:rPr>
                <w:color w:val="00000A"/>
                <w:u w:val="single"/>
              </w:rPr>
            </w:pPr>
          </w:p>
        </w:tc>
      </w:tr>
      <w:tr w:rsidR="00EF75BA" w:rsidRPr="00EF75BA" w:rsidTr="00306381">
        <w:trPr>
          <w:jc w:val="center"/>
        </w:trPr>
        <w:tc>
          <w:tcPr>
            <w:tcW w:w="5381" w:type="dxa"/>
            <w:shd w:val="clear" w:color="auto" w:fill="auto"/>
            <w:tcMar>
              <w:left w:w="103" w:type="dxa"/>
            </w:tcMar>
          </w:tcPr>
          <w:p w:rsidR="00EF75BA" w:rsidRPr="00EF75BA" w:rsidRDefault="00EF75BA" w:rsidP="00EF75BA">
            <w:pPr>
              <w:suppressAutoHyphens/>
              <w:jc w:val="both"/>
              <w:rPr>
                <w:color w:val="00000A"/>
                <w:u w:val="single"/>
              </w:rPr>
            </w:pPr>
            <w:r w:rsidRPr="00EF75BA">
              <w:rPr>
                <w:color w:val="00000A"/>
                <w:u w:val="single"/>
              </w:rPr>
              <w:t>Texte numéro 4</w:t>
            </w:r>
          </w:p>
          <w:p w:rsidR="00EF75BA" w:rsidRPr="00EF75BA" w:rsidRDefault="00EF75BA" w:rsidP="00EF75BA">
            <w:pPr>
              <w:suppressAutoHyphens/>
              <w:jc w:val="both"/>
              <w:rPr>
                <w:color w:val="00000A"/>
                <w:u w:val="single"/>
              </w:rPr>
            </w:pPr>
          </w:p>
          <w:p w:rsidR="00EF75BA" w:rsidRPr="00EF75BA" w:rsidRDefault="00EF75BA" w:rsidP="00EF75BA">
            <w:pPr>
              <w:suppressAutoHyphens/>
              <w:jc w:val="both"/>
              <w:rPr>
                <w:color w:val="00000A"/>
                <w:u w:val="single"/>
              </w:rPr>
            </w:pPr>
          </w:p>
        </w:tc>
        <w:tc>
          <w:tcPr>
            <w:tcW w:w="1984" w:type="dxa"/>
            <w:tcBorders>
              <w:left w:val="nil"/>
              <w:right w:val="nil"/>
            </w:tcBorders>
            <w:shd w:val="clear" w:color="auto" w:fill="auto"/>
          </w:tcPr>
          <w:p w:rsidR="00EF75BA" w:rsidRPr="00EF75BA" w:rsidRDefault="00EF75BA" w:rsidP="00EF75BA">
            <w:pPr>
              <w:suppressAutoHyphens/>
              <w:jc w:val="both"/>
              <w:rPr>
                <w:color w:val="00000A"/>
                <w:u w:val="single"/>
              </w:rPr>
            </w:pPr>
          </w:p>
        </w:tc>
        <w:tc>
          <w:tcPr>
            <w:tcW w:w="1986" w:type="dxa"/>
            <w:shd w:val="clear" w:color="auto" w:fill="auto"/>
            <w:tcMar>
              <w:left w:w="103" w:type="dxa"/>
            </w:tcMar>
          </w:tcPr>
          <w:p w:rsidR="00EF75BA" w:rsidRPr="00EF75BA" w:rsidRDefault="00EF75BA" w:rsidP="00EF75BA">
            <w:pPr>
              <w:suppressAutoHyphens/>
              <w:jc w:val="both"/>
              <w:rPr>
                <w:color w:val="00000A"/>
                <w:u w:val="single"/>
              </w:rPr>
            </w:pPr>
          </w:p>
        </w:tc>
      </w:tr>
      <w:tr w:rsidR="00EF75BA" w:rsidRPr="00EF75BA" w:rsidTr="00306381">
        <w:trPr>
          <w:jc w:val="center"/>
        </w:trPr>
        <w:tc>
          <w:tcPr>
            <w:tcW w:w="5381" w:type="dxa"/>
            <w:shd w:val="clear" w:color="auto" w:fill="auto"/>
            <w:tcMar>
              <w:left w:w="103" w:type="dxa"/>
            </w:tcMar>
          </w:tcPr>
          <w:p w:rsidR="00EF75BA" w:rsidRPr="00EF75BA" w:rsidRDefault="00EF75BA" w:rsidP="00EF75BA">
            <w:pPr>
              <w:suppressAutoHyphens/>
              <w:jc w:val="both"/>
              <w:rPr>
                <w:color w:val="00000A"/>
                <w:u w:val="single"/>
              </w:rPr>
            </w:pPr>
            <w:r w:rsidRPr="00EF75BA">
              <w:rPr>
                <w:color w:val="00000A"/>
                <w:u w:val="single"/>
              </w:rPr>
              <w:t>Texte numéro 5</w:t>
            </w:r>
          </w:p>
          <w:p w:rsidR="00EF75BA" w:rsidRPr="00EF75BA" w:rsidRDefault="00EF75BA" w:rsidP="00EF75BA">
            <w:pPr>
              <w:suppressAutoHyphens/>
              <w:jc w:val="both"/>
              <w:rPr>
                <w:color w:val="00000A"/>
                <w:u w:val="single"/>
              </w:rPr>
            </w:pPr>
          </w:p>
          <w:p w:rsidR="00EF75BA" w:rsidRPr="00EF75BA" w:rsidRDefault="00EF75BA" w:rsidP="00EF75BA">
            <w:pPr>
              <w:suppressAutoHyphens/>
              <w:jc w:val="both"/>
              <w:rPr>
                <w:color w:val="00000A"/>
                <w:u w:val="single"/>
              </w:rPr>
            </w:pPr>
          </w:p>
        </w:tc>
        <w:tc>
          <w:tcPr>
            <w:tcW w:w="1984" w:type="dxa"/>
            <w:tcBorders>
              <w:left w:val="nil"/>
              <w:right w:val="nil"/>
            </w:tcBorders>
            <w:shd w:val="clear" w:color="auto" w:fill="auto"/>
          </w:tcPr>
          <w:p w:rsidR="00EF75BA" w:rsidRPr="00EF75BA" w:rsidRDefault="00EF75BA" w:rsidP="00EF75BA">
            <w:pPr>
              <w:suppressAutoHyphens/>
              <w:jc w:val="both"/>
              <w:rPr>
                <w:color w:val="00000A"/>
                <w:u w:val="single"/>
              </w:rPr>
            </w:pPr>
          </w:p>
        </w:tc>
        <w:tc>
          <w:tcPr>
            <w:tcW w:w="1986" w:type="dxa"/>
            <w:shd w:val="clear" w:color="auto" w:fill="auto"/>
            <w:tcMar>
              <w:left w:w="103" w:type="dxa"/>
            </w:tcMar>
          </w:tcPr>
          <w:p w:rsidR="00EF75BA" w:rsidRPr="00EF75BA" w:rsidRDefault="00EF75BA" w:rsidP="00EF75BA">
            <w:pPr>
              <w:suppressAutoHyphens/>
              <w:jc w:val="both"/>
              <w:rPr>
                <w:color w:val="00000A"/>
                <w:u w:val="single"/>
              </w:rPr>
            </w:pPr>
          </w:p>
        </w:tc>
      </w:tr>
      <w:tr w:rsidR="00EF75BA" w:rsidRPr="00EF75BA" w:rsidTr="00306381">
        <w:trPr>
          <w:jc w:val="center"/>
        </w:trPr>
        <w:tc>
          <w:tcPr>
            <w:tcW w:w="5381" w:type="dxa"/>
            <w:shd w:val="clear" w:color="auto" w:fill="auto"/>
            <w:tcMar>
              <w:left w:w="103" w:type="dxa"/>
            </w:tcMar>
          </w:tcPr>
          <w:p w:rsidR="00EF75BA" w:rsidRPr="00EF75BA" w:rsidRDefault="00EF75BA" w:rsidP="00EF75BA">
            <w:pPr>
              <w:suppressAutoHyphens/>
              <w:jc w:val="both"/>
              <w:rPr>
                <w:color w:val="00000A"/>
                <w:u w:val="single"/>
              </w:rPr>
            </w:pPr>
            <w:r w:rsidRPr="00EF75BA">
              <w:rPr>
                <w:color w:val="00000A"/>
                <w:u w:val="single"/>
              </w:rPr>
              <w:t>Texte numéro 6</w:t>
            </w:r>
          </w:p>
          <w:p w:rsidR="00EF75BA" w:rsidRPr="00EF75BA" w:rsidRDefault="00EF75BA" w:rsidP="00EF75BA">
            <w:pPr>
              <w:suppressAutoHyphens/>
              <w:jc w:val="both"/>
              <w:rPr>
                <w:color w:val="00000A"/>
                <w:u w:val="single"/>
              </w:rPr>
            </w:pPr>
          </w:p>
          <w:p w:rsidR="00EF75BA" w:rsidRPr="00EF75BA" w:rsidRDefault="00EF75BA" w:rsidP="00EF75BA">
            <w:pPr>
              <w:suppressAutoHyphens/>
              <w:jc w:val="both"/>
              <w:rPr>
                <w:color w:val="00000A"/>
                <w:u w:val="single"/>
              </w:rPr>
            </w:pPr>
          </w:p>
        </w:tc>
        <w:tc>
          <w:tcPr>
            <w:tcW w:w="1984" w:type="dxa"/>
            <w:tcBorders>
              <w:left w:val="nil"/>
              <w:right w:val="nil"/>
            </w:tcBorders>
            <w:shd w:val="clear" w:color="auto" w:fill="auto"/>
          </w:tcPr>
          <w:p w:rsidR="00EF75BA" w:rsidRPr="00EF75BA" w:rsidRDefault="00EF75BA" w:rsidP="00EF75BA">
            <w:pPr>
              <w:suppressAutoHyphens/>
              <w:jc w:val="both"/>
              <w:rPr>
                <w:color w:val="00000A"/>
                <w:u w:val="single"/>
              </w:rPr>
            </w:pPr>
          </w:p>
        </w:tc>
        <w:tc>
          <w:tcPr>
            <w:tcW w:w="1986" w:type="dxa"/>
            <w:shd w:val="clear" w:color="auto" w:fill="auto"/>
            <w:tcMar>
              <w:left w:w="103" w:type="dxa"/>
            </w:tcMar>
          </w:tcPr>
          <w:p w:rsidR="00EF75BA" w:rsidRPr="00EF75BA" w:rsidRDefault="00EF75BA" w:rsidP="00EF75BA">
            <w:pPr>
              <w:suppressAutoHyphens/>
              <w:jc w:val="both"/>
              <w:rPr>
                <w:color w:val="00000A"/>
                <w:u w:val="single"/>
              </w:rPr>
            </w:pPr>
          </w:p>
        </w:tc>
      </w:tr>
      <w:tr w:rsidR="00EF75BA" w:rsidRPr="00EF75BA" w:rsidTr="00306381">
        <w:trPr>
          <w:jc w:val="center"/>
        </w:trPr>
        <w:tc>
          <w:tcPr>
            <w:tcW w:w="5381" w:type="dxa"/>
            <w:shd w:val="clear" w:color="auto" w:fill="auto"/>
            <w:tcMar>
              <w:left w:w="103" w:type="dxa"/>
            </w:tcMar>
          </w:tcPr>
          <w:p w:rsidR="00EF75BA" w:rsidRPr="00EF75BA" w:rsidRDefault="00EF75BA" w:rsidP="00EF75BA">
            <w:pPr>
              <w:suppressAutoHyphens/>
              <w:jc w:val="both"/>
              <w:rPr>
                <w:color w:val="00000A"/>
                <w:u w:val="single"/>
              </w:rPr>
            </w:pPr>
            <w:r w:rsidRPr="00EF75BA">
              <w:rPr>
                <w:color w:val="00000A"/>
                <w:u w:val="single"/>
              </w:rPr>
              <w:t xml:space="preserve">Texte </w:t>
            </w:r>
            <w:r w:rsidR="007D6EF9">
              <w:rPr>
                <w:color w:val="00000A"/>
                <w:u w:val="single"/>
              </w:rPr>
              <w:t xml:space="preserve"> </w:t>
            </w:r>
            <w:r w:rsidRPr="00EF75BA">
              <w:rPr>
                <w:color w:val="00000A"/>
                <w:u w:val="single"/>
              </w:rPr>
              <w:t xml:space="preserve"> numéro 7</w:t>
            </w:r>
          </w:p>
          <w:p w:rsidR="00EF75BA" w:rsidRPr="00EF75BA" w:rsidRDefault="00EF75BA" w:rsidP="00EF75BA">
            <w:pPr>
              <w:suppressAutoHyphens/>
              <w:jc w:val="both"/>
              <w:rPr>
                <w:color w:val="00000A"/>
                <w:u w:val="single"/>
              </w:rPr>
            </w:pPr>
          </w:p>
          <w:p w:rsidR="00EF75BA" w:rsidRPr="00EF75BA" w:rsidRDefault="00EF75BA" w:rsidP="00EF75BA">
            <w:pPr>
              <w:suppressAutoHyphens/>
              <w:jc w:val="both"/>
              <w:rPr>
                <w:color w:val="00000A"/>
                <w:u w:val="single"/>
              </w:rPr>
            </w:pPr>
          </w:p>
        </w:tc>
        <w:tc>
          <w:tcPr>
            <w:tcW w:w="1984" w:type="dxa"/>
            <w:tcBorders>
              <w:left w:val="nil"/>
              <w:right w:val="nil"/>
            </w:tcBorders>
            <w:shd w:val="clear" w:color="auto" w:fill="auto"/>
          </w:tcPr>
          <w:p w:rsidR="00EF75BA" w:rsidRPr="00EF75BA" w:rsidRDefault="00EF75BA" w:rsidP="00EF75BA">
            <w:pPr>
              <w:suppressAutoHyphens/>
              <w:jc w:val="both"/>
              <w:rPr>
                <w:color w:val="00000A"/>
                <w:u w:val="single"/>
              </w:rPr>
            </w:pPr>
          </w:p>
        </w:tc>
        <w:tc>
          <w:tcPr>
            <w:tcW w:w="1986" w:type="dxa"/>
            <w:shd w:val="clear" w:color="auto" w:fill="auto"/>
            <w:tcMar>
              <w:left w:w="103" w:type="dxa"/>
            </w:tcMar>
          </w:tcPr>
          <w:p w:rsidR="00EF75BA" w:rsidRPr="00EF75BA" w:rsidRDefault="00EF75BA" w:rsidP="00EF75BA">
            <w:pPr>
              <w:suppressAutoHyphens/>
              <w:jc w:val="both"/>
              <w:rPr>
                <w:color w:val="00000A"/>
                <w:u w:val="single"/>
              </w:rPr>
            </w:pPr>
          </w:p>
        </w:tc>
      </w:tr>
      <w:tr w:rsidR="00EF75BA" w:rsidRPr="00EF75BA" w:rsidTr="00306381">
        <w:trPr>
          <w:jc w:val="center"/>
        </w:trPr>
        <w:tc>
          <w:tcPr>
            <w:tcW w:w="5381" w:type="dxa"/>
            <w:shd w:val="clear" w:color="auto" w:fill="auto"/>
            <w:tcMar>
              <w:left w:w="103" w:type="dxa"/>
            </w:tcMar>
          </w:tcPr>
          <w:p w:rsidR="00EF75BA" w:rsidRPr="00EF75BA" w:rsidRDefault="00EF75BA" w:rsidP="00EF75BA">
            <w:pPr>
              <w:suppressAutoHyphens/>
              <w:jc w:val="both"/>
              <w:rPr>
                <w:color w:val="00000A"/>
                <w:u w:val="single"/>
              </w:rPr>
            </w:pPr>
            <w:r w:rsidRPr="00EF75BA">
              <w:rPr>
                <w:color w:val="00000A"/>
                <w:u w:val="single"/>
              </w:rPr>
              <w:t>Texte numéro 8</w:t>
            </w:r>
          </w:p>
          <w:p w:rsidR="00EF75BA" w:rsidRPr="00EF75BA" w:rsidRDefault="00EF75BA" w:rsidP="00EF75BA">
            <w:pPr>
              <w:suppressAutoHyphens/>
              <w:jc w:val="both"/>
              <w:rPr>
                <w:color w:val="00000A"/>
                <w:u w:val="single"/>
              </w:rPr>
            </w:pPr>
          </w:p>
          <w:p w:rsidR="00EF75BA" w:rsidRPr="00EF75BA" w:rsidRDefault="00EF75BA" w:rsidP="00EF75BA">
            <w:pPr>
              <w:suppressAutoHyphens/>
              <w:jc w:val="both"/>
              <w:rPr>
                <w:color w:val="00000A"/>
                <w:u w:val="single"/>
              </w:rPr>
            </w:pPr>
          </w:p>
        </w:tc>
        <w:tc>
          <w:tcPr>
            <w:tcW w:w="1984" w:type="dxa"/>
            <w:tcBorders>
              <w:left w:val="nil"/>
              <w:right w:val="nil"/>
            </w:tcBorders>
            <w:shd w:val="clear" w:color="auto" w:fill="auto"/>
          </w:tcPr>
          <w:p w:rsidR="00EF75BA" w:rsidRPr="00EF75BA" w:rsidRDefault="00EF75BA" w:rsidP="00EF75BA">
            <w:pPr>
              <w:suppressAutoHyphens/>
              <w:jc w:val="both"/>
              <w:rPr>
                <w:color w:val="00000A"/>
                <w:u w:val="single"/>
              </w:rPr>
            </w:pPr>
          </w:p>
        </w:tc>
        <w:tc>
          <w:tcPr>
            <w:tcW w:w="1986" w:type="dxa"/>
            <w:shd w:val="clear" w:color="auto" w:fill="auto"/>
            <w:tcMar>
              <w:left w:w="103" w:type="dxa"/>
            </w:tcMar>
          </w:tcPr>
          <w:p w:rsidR="00EF75BA" w:rsidRPr="00EF75BA" w:rsidRDefault="00EF75BA" w:rsidP="00EF75BA">
            <w:pPr>
              <w:suppressAutoHyphens/>
              <w:jc w:val="both"/>
              <w:rPr>
                <w:color w:val="00000A"/>
                <w:u w:val="single"/>
              </w:rPr>
            </w:pPr>
          </w:p>
        </w:tc>
      </w:tr>
      <w:tr w:rsidR="00EF75BA" w:rsidRPr="00EF75BA" w:rsidTr="00306381">
        <w:trPr>
          <w:jc w:val="center"/>
        </w:trPr>
        <w:tc>
          <w:tcPr>
            <w:tcW w:w="5381" w:type="dxa"/>
            <w:shd w:val="clear" w:color="auto" w:fill="auto"/>
            <w:tcMar>
              <w:left w:w="103" w:type="dxa"/>
            </w:tcMar>
          </w:tcPr>
          <w:p w:rsidR="00EF75BA" w:rsidRPr="00EF75BA" w:rsidRDefault="00EF75BA" w:rsidP="00EF75BA">
            <w:pPr>
              <w:suppressAutoHyphens/>
              <w:jc w:val="both"/>
              <w:rPr>
                <w:color w:val="00000A"/>
                <w:u w:val="single"/>
              </w:rPr>
            </w:pPr>
            <w:r w:rsidRPr="00EF75BA">
              <w:rPr>
                <w:color w:val="00000A"/>
                <w:u w:val="single"/>
              </w:rPr>
              <w:t>Texte numéro 9</w:t>
            </w:r>
          </w:p>
          <w:p w:rsidR="00EF75BA" w:rsidRPr="00EF75BA" w:rsidRDefault="00EF75BA" w:rsidP="00EF75BA">
            <w:pPr>
              <w:suppressAutoHyphens/>
              <w:jc w:val="both"/>
              <w:rPr>
                <w:color w:val="00000A"/>
                <w:u w:val="single"/>
              </w:rPr>
            </w:pPr>
          </w:p>
          <w:p w:rsidR="00EF75BA" w:rsidRPr="00EF75BA" w:rsidRDefault="00EF75BA" w:rsidP="00EF75BA">
            <w:pPr>
              <w:suppressAutoHyphens/>
              <w:jc w:val="both"/>
              <w:rPr>
                <w:color w:val="00000A"/>
                <w:u w:val="single"/>
              </w:rPr>
            </w:pPr>
          </w:p>
        </w:tc>
        <w:tc>
          <w:tcPr>
            <w:tcW w:w="1984" w:type="dxa"/>
            <w:tcBorders>
              <w:left w:val="nil"/>
              <w:right w:val="nil"/>
            </w:tcBorders>
            <w:shd w:val="clear" w:color="auto" w:fill="auto"/>
          </w:tcPr>
          <w:p w:rsidR="00EF75BA" w:rsidRPr="00EF75BA" w:rsidRDefault="00EF75BA" w:rsidP="00EF75BA">
            <w:pPr>
              <w:suppressAutoHyphens/>
              <w:jc w:val="both"/>
              <w:rPr>
                <w:color w:val="00000A"/>
                <w:u w:val="single"/>
              </w:rPr>
            </w:pPr>
          </w:p>
        </w:tc>
        <w:tc>
          <w:tcPr>
            <w:tcW w:w="1986" w:type="dxa"/>
            <w:shd w:val="clear" w:color="auto" w:fill="auto"/>
            <w:tcMar>
              <w:left w:w="103" w:type="dxa"/>
            </w:tcMar>
          </w:tcPr>
          <w:p w:rsidR="00EF75BA" w:rsidRPr="00EF75BA" w:rsidRDefault="00EF75BA" w:rsidP="00EF75BA">
            <w:pPr>
              <w:suppressAutoHyphens/>
              <w:jc w:val="both"/>
              <w:rPr>
                <w:color w:val="00000A"/>
                <w:u w:val="single"/>
              </w:rPr>
            </w:pPr>
          </w:p>
        </w:tc>
      </w:tr>
      <w:tr w:rsidR="004A6BB5" w:rsidRPr="00EF75BA" w:rsidTr="004A6BB5">
        <w:trPr>
          <w:trHeight w:val="814"/>
          <w:jc w:val="center"/>
        </w:trPr>
        <w:tc>
          <w:tcPr>
            <w:tcW w:w="5381" w:type="dxa"/>
            <w:shd w:val="clear" w:color="auto" w:fill="auto"/>
            <w:tcMar>
              <w:left w:w="103" w:type="dxa"/>
            </w:tcMar>
          </w:tcPr>
          <w:p w:rsidR="004A6BB5" w:rsidRPr="00EF75BA" w:rsidRDefault="004A6BB5" w:rsidP="004A6BB5">
            <w:pPr>
              <w:suppressAutoHyphens/>
              <w:jc w:val="both"/>
              <w:rPr>
                <w:color w:val="00000A"/>
                <w:u w:val="single"/>
              </w:rPr>
            </w:pPr>
            <w:r>
              <w:rPr>
                <w:color w:val="00000A"/>
                <w:u w:val="single"/>
              </w:rPr>
              <w:t>Texte numéro 10</w:t>
            </w:r>
          </w:p>
          <w:p w:rsidR="004A6BB5" w:rsidRPr="00EF75BA" w:rsidRDefault="004A6BB5" w:rsidP="00EF75BA">
            <w:pPr>
              <w:suppressAutoHyphens/>
              <w:jc w:val="both"/>
              <w:rPr>
                <w:color w:val="00000A"/>
                <w:u w:val="single"/>
              </w:rPr>
            </w:pPr>
          </w:p>
        </w:tc>
        <w:tc>
          <w:tcPr>
            <w:tcW w:w="1984" w:type="dxa"/>
            <w:tcBorders>
              <w:left w:val="nil"/>
              <w:right w:val="nil"/>
            </w:tcBorders>
            <w:shd w:val="clear" w:color="auto" w:fill="auto"/>
          </w:tcPr>
          <w:p w:rsidR="004A6BB5" w:rsidRPr="00EF75BA" w:rsidRDefault="004A6BB5" w:rsidP="00EF75BA">
            <w:pPr>
              <w:suppressAutoHyphens/>
              <w:jc w:val="both"/>
              <w:rPr>
                <w:color w:val="00000A"/>
                <w:u w:val="single"/>
              </w:rPr>
            </w:pPr>
          </w:p>
        </w:tc>
        <w:tc>
          <w:tcPr>
            <w:tcW w:w="1986" w:type="dxa"/>
            <w:shd w:val="clear" w:color="auto" w:fill="auto"/>
            <w:tcMar>
              <w:left w:w="103" w:type="dxa"/>
            </w:tcMar>
          </w:tcPr>
          <w:p w:rsidR="004A6BB5" w:rsidRPr="00EF75BA" w:rsidRDefault="004A6BB5" w:rsidP="00EF75BA">
            <w:pPr>
              <w:suppressAutoHyphens/>
              <w:jc w:val="both"/>
              <w:rPr>
                <w:color w:val="00000A"/>
                <w:u w:val="single"/>
              </w:rPr>
            </w:pPr>
          </w:p>
        </w:tc>
      </w:tr>
    </w:tbl>
    <w:p w:rsidR="009B7E12" w:rsidRDefault="009B7E12"/>
    <w:sectPr w:rsidR="009B7E12" w:rsidSect="004A6BB5">
      <w:headerReference w:type="default" r:id="rId8"/>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108C" w:rsidRDefault="0093108C" w:rsidP="0093108C">
      <w:pPr>
        <w:spacing w:after="0" w:line="240" w:lineRule="auto"/>
      </w:pPr>
      <w:r>
        <w:separator/>
      </w:r>
    </w:p>
  </w:endnote>
  <w:endnote w:type="continuationSeparator" w:id="0">
    <w:p w:rsidR="0093108C" w:rsidRDefault="0093108C" w:rsidP="00931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108C" w:rsidRDefault="0093108C" w:rsidP="0093108C">
      <w:pPr>
        <w:spacing w:after="0" w:line="240" w:lineRule="auto"/>
      </w:pPr>
      <w:r>
        <w:separator/>
      </w:r>
    </w:p>
  </w:footnote>
  <w:footnote w:type="continuationSeparator" w:id="0">
    <w:p w:rsidR="0093108C" w:rsidRDefault="0093108C" w:rsidP="009310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08C" w:rsidRDefault="0093108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A84157"/>
    <w:multiLevelType w:val="hybridMultilevel"/>
    <w:tmpl w:val="33E427D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E12"/>
    <w:rsid w:val="001733D6"/>
    <w:rsid w:val="00306381"/>
    <w:rsid w:val="004118F4"/>
    <w:rsid w:val="004A6BB5"/>
    <w:rsid w:val="004E024B"/>
    <w:rsid w:val="004E70B3"/>
    <w:rsid w:val="007908A6"/>
    <w:rsid w:val="007B22DE"/>
    <w:rsid w:val="007D6EF9"/>
    <w:rsid w:val="007F2311"/>
    <w:rsid w:val="00896772"/>
    <w:rsid w:val="0093108C"/>
    <w:rsid w:val="009B7E12"/>
    <w:rsid w:val="00D44D1D"/>
    <w:rsid w:val="00E379EE"/>
    <w:rsid w:val="00EF75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2DB5A"/>
  <w15:chartTrackingRefBased/>
  <w15:docId w15:val="{AB7AF9A2-C4CA-42E3-941F-F92088E2A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EF7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39"/>
    <w:rsid w:val="00EF75BA"/>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D44D1D"/>
    <w:pPr>
      <w:ind w:left="720"/>
      <w:contextualSpacing/>
    </w:pPr>
  </w:style>
  <w:style w:type="paragraph" w:styleId="En-tte">
    <w:name w:val="header"/>
    <w:basedOn w:val="Normal"/>
    <w:link w:val="En-tteCar"/>
    <w:uiPriority w:val="99"/>
    <w:unhideWhenUsed/>
    <w:rsid w:val="0093108C"/>
    <w:pPr>
      <w:tabs>
        <w:tab w:val="center" w:pos="4536"/>
        <w:tab w:val="right" w:pos="9072"/>
      </w:tabs>
      <w:spacing w:after="0" w:line="240" w:lineRule="auto"/>
    </w:pPr>
  </w:style>
  <w:style w:type="character" w:customStyle="1" w:styleId="En-tteCar">
    <w:name w:val="En-tête Car"/>
    <w:basedOn w:val="Policepardfaut"/>
    <w:link w:val="En-tte"/>
    <w:uiPriority w:val="99"/>
    <w:rsid w:val="0093108C"/>
  </w:style>
  <w:style w:type="paragraph" w:styleId="Pieddepage">
    <w:name w:val="footer"/>
    <w:basedOn w:val="Normal"/>
    <w:link w:val="PieddepageCar"/>
    <w:uiPriority w:val="99"/>
    <w:unhideWhenUsed/>
    <w:rsid w:val="0093108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31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4</Pages>
  <Words>989</Words>
  <Characters>5445</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Ministère de l'Agriculture et de l'Alimentation</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Céline FLACHER</dc:creator>
  <cp:keywords/>
  <dc:description/>
  <cp:lastModifiedBy>Lydia DARCY</cp:lastModifiedBy>
  <cp:revision>8</cp:revision>
  <dcterms:created xsi:type="dcterms:W3CDTF">2021-05-12T06:41:00Z</dcterms:created>
  <dcterms:modified xsi:type="dcterms:W3CDTF">2021-06-01T15:08:00Z</dcterms:modified>
</cp:coreProperties>
</file>