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4A0" w:firstRow="1" w:lastRow="0" w:firstColumn="1" w:lastColumn="0" w:noHBand="0" w:noVBand="1"/>
      </w:tblPr>
      <w:tblGrid>
        <w:gridCol w:w="9638"/>
      </w:tblGrid>
      <w:tr w:rsidR="00813864">
        <w:tc>
          <w:tcPr>
            <w:tcW w:w="9638" w:type="dxa"/>
            <w:tcMar>
              <w:top w:w="55" w:type="dxa"/>
              <w:left w:w="55" w:type="dxa"/>
              <w:bottom w:w="55" w:type="dxa"/>
              <w:right w:w="55" w:type="dxa"/>
            </w:tcMar>
          </w:tcPr>
          <w:p w:rsidR="00813864" w:rsidRDefault="00972295">
            <w:pPr>
              <w:pStyle w:val="TableContents"/>
              <w:jc w:val="center"/>
            </w:pPr>
            <w:r>
              <w:rPr>
                <w:noProof/>
                <w:lang w:eastAsia="fr-FR" w:bidi="ar-SA"/>
              </w:rPr>
              <w:drawing>
                <wp:inline distT="0" distB="0" distL="0" distR="0">
                  <wp:extent cx="1085040" cy="646560"/>
                  <wp:effectExtent l="0" t="0" r="810" b="114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85040" cy="646560"/>
                          </a:xfrm>
                          <a:prstGeom prst="rect">
                            <a:avLst/>
                          </a:prstGeom>
                          <a:ln>
                            <a:noFill/>
                            <a:prstDash/>
                          </a:ln>
                        </pic:spPr>
                      </pic:pic>
                    </a:graphicData>
                  </a:graphic>
                </wp:inline>
              </w:drawing>
            </w:r>
          </w:p>
          <w:p w:rsidR="00813864" w:rsidRDefault="00813864">
            <w:pPr>
              <w:pStyle w:val="TableContents"/>
              <w:jc w:val="center"/>
            </w:pPr>
          </w:p>
          <w:p w:rsidR="00813864" w:rsidRDefault="00972295">
            <w:pPr>
              <w:pStyle w:val="Standard"/>
              <w:jc w:val="center"/>
            </w:pPr>
            <w:r>
              <w:rPr>
                <w:rFonts w:ascii="TimesNewRomanPS" w:hAnsi="TimesNewRomanPS"/>
                <w:sz w:val="22"/>
              </w:rPr>
              <w:t>MINISTÈRE DE L'AGRICULTURE</w:t>
            </w:r>
          </w:p>
          <w:p w:rsidR="00813864" w:rsidRDefault="00972295">
            <w:pPr>
              <w:pStyle w:val="Standard"/>
              <w:jc w:val="center"/>
            </w:pPr>
            <w:r>
              <w:rPr>
                <w:rFonts w:ascii="TimesNewRomanPS" w:hAnsi="TimesNewRomanPS"/>
                <w:sz w:val="22"/>
              </w:rPr>
              <w:t>ET DE L'ALIMENTATION</w:t>
            </w:r>
          </w:p>
          <w:p w:rsidR="00813864" w:rsidRDefault="00813864">
            <w:pPr>
              <w:pStyle w:val="Standard"/>
              <w:jc w:val="center"/>
            </w:pPr>
          </w:p>
          <w:p w:rsidR="00813864" w:rsidRDefault="00813864">
            <w:pPr>
              <w:pStyle w:val="Standard"/>
              <w:jc w:val="center"/>
            </w:pPr>
          </w:p>
        </w:tc>
      </w:tr>
    </w:tbl>
    <w:p w:rsidR="00813864" w:rsidRDefault="00813864">
      <w:pPr>
        <w:pStyle w:val="Textbody"/>
        <w:ind w:left="0" w:firstLine="0"/>
      </w:pPr>
    </w:p>
    <w:p w:rsidR="00813864" w:rsidRDefault="00972295" w:rsidP="00972295">
      <w:pPr>
        <w:pStyle w:val="Textbody"/>
        <w:ind w:left="0" w:firstLine="0"/>
        <w:jc w:val="center"/>
        <w:rPr>
          <w:b/>
          <w:bCs/>
          <w:sz w:val="24"/>
        </w:rPr>
      </w:pPr>
      <w:r>
        <w:rPr>
          <w:b/>
          <w:bCs/>
          <w:sz w:val="24"/>
        </w:rPr>
        <w:t xml:space="preserve">Décision relative à la reconnaissance de méthodes d'analyses de la présence de   </w:t>
      </w:r>
      <w:r w:rsidR="00CB52A4">
        <w:rPr>
          <w:b/>
          <w:bCs/>
          <w:sz w:val="24"/>
        </w:rPr>
        <w:t>résidus d'antibiotiques dans le lait</w:t>
      </w:r>
      <w:r>
        <w:rPr>
          <w:b/>
          <w:bCs/>
          <w:sz w:val="24"/>
        </w:rPr>
        <w:t xml:space="preserve"> de vache, de chèvre et de brebis</w:t>
      </w:r>
    </w:p>
    <w:p w:rsidR="00813864" w:rsidRDefault="00813864">
      <w:pPr>
        <w:pStyle w:val="Textbody"/>
        <w:ind w:left="0" w:firstLine="0"/>
      </w:pPr>
    </w:p>
    <w:p w:rsidR="00813864" w:rsidRDefault="00972295">
      <w:pPr>
        <w:pStyle w:val="Textbody"/>
        <w:ind w:left="0" w:firstLine="0"/>
      </w:pPr>
      <w:r>
        <w:t>Le ministre de l’agriculture et de l'alimentation,</w:t>
      </w:r>
    </w:p>
    <w:p w:rsidR="00813864" w:rsidRDefault="00972295">
      <w:pPr>
        <w:pStyle w:val="Textbody"/>
        <w:ind w:left="0" w:firstLine="0"/>
      </w:pPr>
      <w:r>
        <w:t>Vu le code rural et de la pêche maritime, notamment les articles D. 654-29 et suivants ;</w:t>
      </w:r>
    </w:p>
    <w:p w:rsidR="00813864" w:rsidRDefault="00972295">
      <w:pPr>
        <w:pStyle w:val="Textbody"/>
        <w:ind w:left="0" w:firstLine="0"/>
      </w:pPr>
      <w:r>
        <w:t>Vu l’arrêté du 9 novembre 2012 relatif aux modalités de paiement du lait de vache, de brebis ou de chèvre en fonction de sa composition et de sa qualité hygiénique et sanitaire ;</w:t>
      </w:r>
    </w:p>
    <w:p w:rsidR="00813864" w:rsidRDefault="00972295">
      <w:pPr>
        <w:pStyle w:val="Textbody"/>
        <w:ind w:left="0" w:firstLine="0"/>
      </w:pPr>
      <w:r>
        <w:t>Vu l'arrêté du 29 mars 2019 fixant les conditions générales de reconnaissance des méthodes, des appareils et des laboratoires d’analyses en vue du paiement du lait de vache, de brebis ou de chèvre en fonction de sa composition et de sa qualité hygiénique et sanitaire, notamment son article 2.1 ;</w:t>
      </w:r>
    </w:p>
    <w:p w:rsidR="00B6031A" w:rsidRDefault="009C7C61">
      <w:pPr>
        <w:pStyle w:val="Textbody"/>
        <w:ind w:left="0" w:firstLine="0"/>
      </w:pPr>
      <w:r>
        <w:t>Vu la décision de reconnaissance du 31 juillet 2019 des tests de dépistage et de confirmation relatifs à la recherche de résidus d’antibiotiques dans les laits de vache, de chèvre et de brebis</w:t>
      </w:r>
      <w:r w:rsidR="00B6031A">
        <w:t> ;</w:t>
      </w:r>
    </w:p>
    <w:p w:rsidR="00972295" w:rsidRDefault="00972295">
      <w:pPr>
        <w:pStyle w:val="Textbody"/>
        <w:ind w:left="0" w:firstLine="0"/>
      </w:pPr>
      <w:r>
        <w:t>Vu l</w:t>
      </w:r>
      <w:r w:rsidR="009C7C61">
        <w:t xml:space="preserve">’avis de </w:t>
      </w:r>
      <w:r w:rsidR="003B63DA">
        <w:t>l</w:t>
      </w:r>
      <w:r w:rsidR="009C7C61">
        <w:t>’ANSES, reçu par mail le 11 octobre 2019, sur le manuel de la m</w:t>
      </w:r>
      <w:r>
        <w:t xml:space="preserve">éthode de dépistage « recherche des résidus d'inhibiteurs par test microbiologique d'acidification utilisant Bacillus </w:t>
      </w:r>
      <w:proofErr w:type="spellStart"/>
      <w:r>
        <w:t>Stearothermophilus</w:t>
      </w:r>
      <w:proofErr w:type="spellEnd"/>
      <w:r>
        <w:t xml:space="preserve"> test DELVOTEST T ® », intitulée « CNIEL INHD</w:t>
      </w:r>
      <w:r w:rsidR="0083330D">
        <w:t>, version 09 »</w:t>
      </w:r>
      <w:r>
        <w:t xml:space="preserve"> du 20 septembre 2019 ;</w:t>
      </w:r>
    </w:p>
    <w:p w:rsidR="00813864" w:rsidRDefault="00972295">
      <w:pPr>
        <w:pStyle w:val="Textbody"/>
        <w:ind w:left="0" w:firstLine="0"/>
      </w:pPr>
      <w:r>
        <w:t>Vu</w:t>
      </w:r>
      <w:r w:rsidR="009C7C61">
        <w:t xml:space="preserve"> l’avis de </w:t>
      </w:r>
      <w:r w:rsidR="003B63DA">
        <w:t>l</w:t>
      </w:r>
      <w:r w:rsidR="009C7C61">
        <w:t>’ANSES, reçu par mail le 15 octobre 2019, sur le manuel de</w:t>
      </w:r>
      <w:r>
        <w:t xml:space="preserve"> la méthode de </w:t>
      </w:r>
      <w:r w:rsidR="00FD629C">
        <w:t>confirmation</w:t>
      </w:r>
      <w:r>
        <w:t xml:space="preserve"> « recherche de résidus de substances à activité antibiotique dans le lait » intitulée « CNIEL ATB</w:t>
      </w:r>
      <w:r w:rsidR="0083330D">
        <w:t>C,</w:t>
      </w:r>
      <w:r>
        <w:t xml:space="preserve"> </w:t>
      </w:r>
      <w:r w:rsidR="0083330D">
        <w:t xml:space="preserve">version </w:t>
      </w:r>
      <w:r>
        <w:t>06 » du 11 octobre 2019,</w:t>
      </w:r>
    </w:p>
    <w:p w:rsidR="00813864" w:rsidRDefault="00972295">
      <w:pPr>
        <w:pStyle w:val="Textbody"/>
        <w:ind w:left="0" w:firstLine="0"/>
      </w:pPr>
      <w:r>
        <w:t>Décide :</w:t>
      </w:r>
    </w:p>
    <w:p w:rsidR="00813864" w:rsidRDefault="00813864">
      <w:pPr>
        <w:pStyle w:val="Textbody"/>
        <w:ind w:left="0" w:firstLine="0"/>
      </w:pPr>
    </w:p>
    <w:p w:rsidR="00813864" w:rsidRDefault="00972295">
      <w:pPr>
        <w:pStyle w:val="Textbody"/>
        <w:ind w:left="0" w:firstLine="0"/>
        <w:rPr>
          <w:b/>
          <w:bCs/>
        </w:rPr>
      </w:pPr>
      <w:r>
        <w:rPr>
          <w:b/>
          <w:bCs/>
        </w:rPr>
        <w:t>Article 1er</w:t>
      </w:r>
    </w:p>
    <w:p w:rsidR="00FD629C" w:rsidRDefault="00FD629C" w:rsidP="00FD629C">
      <w:pPr>
        <w:pStyle w:val="western"/>
        <w:ind w:left="0" w:firstLine="0"/>
      </w:pPr>
      <w:r>
        <w:t xml:space="preserve">La méthode CNIEL INHD version 09 est reconnue pour le dépistage de la présence de résidus d'antibiotiques dans le lait de </w:t>
      </w:r>
      <w:r w:rsidR="00F141AB">
        <w:t>vache</w:t>
      </w:r>
      <w:r w:rsidR="00B6031A">
        <w:t xml:space="preserve">, de chèvre et de brebis </w:t>
      </w:r>
      <w:r>
        <w:t xml:space="preserve">au titre </w:t>
      </w:r>
      <w:r w:rsidR="00C23DC6">
        <w:t>de l’article 2.1</w:t>
      </w:r>
      <w:r>
        <w:t xml:space="preserve"> de l'arrêté du </w:t>
      </w:r>
      <w:r w:rsidR="00C23DC6">
        <w:t>29 mars 2019</w:t>
      </w:r>
      <w:r>
        <w:t xml:space="preserve"> susvisé.</w:t>
      </w:r>
    </w:p>
    <w:p w:rsidR="00FD629C" w:rsidRDefault="00FD629C">
      <w:pPr>
        <w:pStyle w:val="Textbody"/>
        <w:ind w:left="0" w:firstLine="0"/>
      </w:pPr>
    </w:p>
    <w:p w:rsidR="00CB4D95" w:rsidRDefault="00CB4D95">
      <w:pPr>
        <w:pStyle w:val="Textbody"/>
        <w:ind w:left="0" w:firstLine="0"/>
      </w:pPr>
    </w:p>
    <w:p w:rsidR="00813864" w:rsidRDefault="00972295">
      <w:pPr>
        <w:pStyle w:val="Textbody"/>
        <w:ind w:left="0" w:firstLine="0"/>
        <w:rPr>
          <w:b/>
          <w:bCs/>
        </w:rPr>
      </w:pPr>
      <w:r>
        <w:rPr>
          <w:b/>
          <w:bCs/>
        </w:rPr>
        <w:t>Article 2</w:t>
      </w:r>
    </w:p>
    <w:p w:rsidR="00C23DC6" w:rsidRDefault="00972295" w:rsidP="00C23DC6">
      <w:pPr>
        <w:pStyle w:val="western"/>
        <w:ind w:left="0" w:firstLine="0"/>
      </w:pPr>
      <w:r>
        <w:t xml:space="preserve">La méthode CNIEL ATBC version 06 est reconnue pour la confirmation de la présence de résidus </w:t>
      </w:r>
      <w:r w:rsidR="00875D64">
        <w:t>d’</w:t>
      </w:r>
      <w:r>
        <w:t>antibiotique</w:t>
      </w:r>
      <w:r w:rsidR="00875D64">
        <w:t>s</w:t>
      </w:r>
      <w:r>
        <w:t xml:space="preserve"> dans le</w:t>
      </w:r>
      <w:r w:rsidR="00F141AB">
        <w:t xml:space="preserve"> lait</w:t>
      </w:r>
      <w:r>
        <w:t xml:space="preserve"> de </w:t>
      </w:r>
      <w:r w:rsidR="00F141AB">
        <w:t>vache</w:t>
      </w:r>
      <w:r w:rsidR="00B6031A">
        <w:t>, de chèvre et de brebis</w:t>
      </w:r>
      <w:r>
        <w:t xml:space="preserve"> au titre </w:t>
      </w:r>
      <w:r w:rsidR="00C23DC6">
        <w:t>de l’article 2.1 de l'arrêté du 29 mars 2019 susvisé.</w:t>
      </w:r>
    </w:p>
    <w:p w:rsidR="00F141AB" w:rsidRDefault="00F141AB" w:rsidP="00C23DC6">
      <w:pPr>
        <w:pStyle w:val="western"/>
        <w:ind w:left="0" w:firstLine="0"/>
      </w:pPr>
    </w:p>
    <w:p w:rsidR="00F141AB" w:rsidRDefault="00F141AB" w:rsidP="00C23DC6">
      <w:pPr>
        <w:pStyle w:val="western"/>
        <w:ind w:left="0" w:firstLine="0"/>
      </w:pPr>
    </w:p>
    <w:p w:rsidR="00813864" w:rsidRDefault="00972295">
      <w:pPr>
        <w:pStyle w:val="Textbody"/>
        <w:ind w:left="0" w:firstLine="0"/>
        <w:rPr>
          <w:b/>
          <w:bCs/>
        </w:rPr>
      </w:pPr>
      <w:r>
        <w:rPr>
          <w:b/>
          <w:bCs/>
        </w:rPr>
        <w:t>Article 3</w:t>
      </w:r>
    </w:p>
    <w:p w:rsidR="00972295" w:rsidRDefault="00972295" w:rsidP="00972295">
      <w:pPr>
        <w:pStyle w:val="western"/>
        <w:ind w:left="0" w:firstLine="0"/>
      </w:pPr>
      <w:r>
        <w:t xml:space="preserve">Toute modification de ces méthodes fait l’objet d’une information préalable du directeur général de l'alimentation. Les modifications notables font l’objet d’une nouvelle procédure de reconnaissance. </w:t>
      </w:r>
    </w:p>
    <w:p w:rsidR="00813864" w:rsidRDefault="00813864">
      <w:pPr>
        <w:pStyle w:val="Textbody"/>
        <w:ind w:left="0" w:firstLine="0"/>
      </w:pPr>
    </w:p>
    <w:p w:rsidR="00F75242" w:rsidRDefault="00F75242">
      <w:pPr>
        <w:pStyle w:val="Textbody"/>
        <w:ind w:left="0" w:firstLine="0"/>
      </w:pPr>
    </w:p>
    <w:p w:rsidR="00813864" w:rsidRDefault="00972295">
      <w:pPr>
        <w:pStyle w:val="Textbody"/>
        <w:keepNext/>
        <w:ind w:left="0" w:firstLine="0"/>
        <w:rPr>
          <w:b/>
          <w:bCs/>
        </w:rPr>
      </w:pPr>
      <w:r>
        <w:rPr>
          <w:b/>
          <w:bCs/>
        </w:rPr>
        <w:lastRenderedPageBreak/>
        <w:t>Article 4</w:t>
      </w:r>
    </w:p>
    <w:p w:rsidR="00972295" w:rsidRDefault="00972295" w:rsidP="00972295">
      <w:pPr>
        <w:pStyle w:val="western"/>
        <w:ind w:left="0" w:firstLine="0"/>
      </w:pPr>
      <w:r>
        <w:t>Les méthodes citées aux articles 1er et 2</w:t>
      </w:r>
      <w:r w:rsidR="00E67B21">
        <w:t>, leur</w:t>
      </w:r>
      <w:r w:rsidR="00E57016">
        <w:t>s</w:t>
      </w:r>
      <w:r w:rsidR="00E67B21">
        <w:t xml:space="preserve"> mises </w:t>
      </w:r>
      <w:r w:rsidR="00E57016">
        <w:t>à</w:t>
      </w:r>
      <w:r w:rsidR="00E67B21">
        <w:t xml:space="preserve"> jour et les modifications qui y sont apportées peuvent être </w:t>
      </w:r>
      <w:r w:rsidR="00875D64">
        <w:t>obtenue</w:t>
      </w:r>
      <w:r w:rsidR="00E67B21">
        <w:t>s gratuitement (hors frais de reprographie et de transmission) auprès d</w:t>
      </w:r>
      <w:r w:rsidR="00B6031A">
        <w:t>u</w:t>
      </w:r>
      <w:r w:rsidR="00E67B21">
        <w:t xml:space="preserve"> </w:t>
      </w:r>
      <w:r w:rsidR="00E57016">
        <w:t>C</w:t>
      </w:r>
      <w:r w:rsidR="00E67B21">
        <w:t>entre National Interprofessionnel de l’</w:t>
      </w:r>
      <w:r w:rsidR="00E57016">
        <w:t>E</w:t>
      </w:r>
      <w:r w:rsidR="00E67B21">
        <w:t>conomie Laitière.</w:t>
      </w:r>
    </w:p>
    <w:p w:rsidR="00813864" w:rsidRDefault="00813864">
      <w:pPr>
        <w:pStyle w:val="Textbody"/>
        <w:ind w:left="0" w:firstLine="0"/>
      </w:pPr>
    </w:p>
    <w:p w:rsidR="00813864" w:rsidRDefault="00813864">
      <w:pPr>
        <w:pStyle w:val="Textbody"/>
        <w:ind w:left="0" w:firstLine="0"/>
      </w:pPr>
    </w:p>
    <w:p w:rsidR="00813864" w:rsidRDefault="00C23DC6">
      <w:pPr>
        <w:pStyle w:val="Textbody"/>
        <w:ind w:left="0" w:firstLine="0"/>
        <w:rPr>
          <w:b/>
          <w:bCs/>
        </w:rPr>
      </w:pPr>
      <w:r>
        <w:rPr>
          <w:b/>
          <w:bCs/>
        </w:rPr>
        <w:t>Article 5</w:t>
      </w:r>
    </w:p>
    <w:p w:rsidR="00CB4D95" w:rsidRDefault="00CB4D95">
      <w:pPr>
        <w:pStyle w:val="Textbody"/>
        <w:ind w:left="0" w:firstLine="0"/>
      </w:pPr>
      <w:r>
        <w:t>La décision du 24 octobre 2019 relative au même objet est abrogée.</w:t>
      </w:r>
    </w:p>
    <w:p w:rsidR="00813864" w:rsidRDefault="00972295">
      <w:pPr>
        <w:pStyle w:val="Textbody"/>
        <w:ind w:left="0" w:firstLine="0"/>
      </w:pPr>
      <w:r>
        <w:t>La présente décision entre en vigueur le 1</w:t>
      </w:r>
      <w:r>
        <w:rPr>
          <w:vertAlign w:val="superscript"/>
        </w:rPr>
        <w:t>er</w:t>
      </w:r>
      <w:r>
        <w:t xml:space="preserve"> janvier 2020.</w:t>
      </w:r>
    </w:p>
    <w:p w:rsidR="00813864" w:rsidRDefault="00813864">
      <w:pPr>
        <w:pStyle w:val="Textbody"/>
        <w:ind w:left="0" w:firstLine="0"/>
      </w:pPr>
    </w:p>
    <w:p w:rsidR="00F75242" w:rsidRDefault="00F75242">
      <w:pPr>
        <w:pStyle w:val="Textbody"/>
        <w:ind w:left="0" w:firstLine="0"/>
        <w:rPr>
          <w:b/>
          <w:bCs/>
        </w:rPr>
      </w:pPr>
    </w:p>
    <w:p w:rsidR="00813864" w:rsidRDefault="00C23DC6">
      <w:pPr>
        <w:pStyle w:val="Textbody"/>
        <w:ind w:left="0" w:firstLine="0"/>
        <w:rPr>
          <w:b/>
          <w:bCs/>
        </w:rPr>
      </w:pPr>
      <w:r>
        <w:rPr>
          <w:b/>
          <w:bCs/>
        </w:rPr>
        <w:t>Article 6</w:t>
      </w:r>
    </w:p>
    <w:p w:rsidR="00813864" w:rsidRDefault="00972295">
      <w:pPr>
        <w:pStyle w:val="Textbody"/>
        <w:ind w:left="0" w:firstLine="0"/>
      </w:pPr>
      <w:r>
        <w:t>Le directeur général de l'alimentation est chargé de l'exécution de la présente décision, qui sera publiée au Bulletin officiel du ministère de l’agriculture et de l'alimentation.</w:t>
      </w:r>
    </w:p>
    <w:p w:rsidR="00813864" w:rsidRDefault="00813864">
      <w:pPr>
        <w:pStyle w:val="Textbody"/>
        <w:ind w:left="0" w:firstLine="0"/>
      </w:pPr>
    </w:p>
    <w:p w:rsidR="00813864" w:rsidRDefault="00813864">
      <w:pPr>
        <w:pStyle w:val="Textbody"/>
        <w:ind w:left="0" w:firstLine="0"/>
      </w:pPr>
    </w:p>
    <w:p w:rsidR="00813864" w:rsidRDefault="00972295">
      <w:pPr>
        <w:pStyle w:val="Textbody"/>
        <w:ind w:left="0" w:firstLine="0"/>
      </w:pPr>
      <w:r>
        <w:t>Fait le</w:t>
      </w:r>
      <w:r w:rsidR="0095331B">
        <w:t xml:space="preserve"> </w:t>
      </w:r>
      <w:r w:rsidR="000539B3">
        <w:t>18 novembre 2019</w:t>
      </w:r>
    </w:p>
    <w:p w:rsidR="00813864" w:rsidRDefault="00972295">
      <w:pPr>
        <w:pStyle w:val="Textbody"/>
        <w:ind w:left="0" w:firstLine="0"/>
      </w:pPr>
      <w:r>
        <w:t>Pour le ministre et par délégation</w:t>
      </w:r>
    </w:p>
    <w:p w:rsidR="000539B3" w:rsidRDefault="000539B3">
      <w:pPr>
        <w:pStyle w:val="Textbody"/>
        <w:ind w:left="0" w:firstLine="0"/>
      </w:pPr>
      <w:r>
        <w:t>Le directeur général adjoint</w:t>
      </w:r>
    </w:p>
    <w:p w:rsidR="000539B3" w:rsidRDefault="000539B3">
      <w:pPr>
        <w:pStyle w:val="Textbody"/>
        <w:ind w:left="0" w:firstLine="0"/>
      </w:pPr>
    </w:p>
    <w:p w:rsidR="000539B3" w:rsidRDefault="000539B3">
      <w:pPr>
        <w:pStyle w:val="Textbody"/>
        <w:ind w:left="0" w:firstLine="0"/>
      </w:pPr>
      <w:r>
        <w:t>L</w:t>
      </w:r>
      <w:r w:rsidR="00874B03">
        <w:t xml:space="preserve">oïc </w:t>
      </w:r>
      <w:bookmarkStart w:id="0" w:name="_GoBack"/>
      <w:bookmarkEnd w:id="0"/>
      <w:r>
        <w:t>EVAIN</w:t>
      </w:r>
    </w:p>
    <w:p w:rsidR="00813864" w:rsidRDefault="00813864">
      <w:pPr>
        <w:pStyle w:val="Textbody"/>
        <w:ind w:firstLine="0"/>
      </w:pPr>
    </w:p>
    <w:p w:rsidR="00813864" w:rsidRDefault="00813864">
      <w:pPr>
        <w:pStyle w:val="Textbody"/>
      </w:pPr>
    </w:p>
    <w:p w:rsidR="00813864" w:rsidRDefault="00813864">
      <w:pPr>
        <w:pStyle w:val="Textbody"/>
      </w:pPr>
    </w:p>
    <w:p w:rsidR="00813864" w:rsidRDefault="00813864">
      <w:pPr>
        <w:pStyle w:val="Textbody"/>
      </w:pPr>
    </w:p>
    <w:sectPr w:rsidR="00813864">
      <w:headerReference w:type="default" r:id="rId7"/>
      <w:footerReference w:type="first" r:id="rId8"/>
      <w:pgSz w:w="11906" w:h="16838"/>
      <w:pgMar w:top="567" w:right="1134" w:bottom="1133" w:left="113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30" w:rsidRDefault="00972295">
      <w:r>
        <w:separator/>
      </w:r>
    </w:p>
  </w:endnote>
  <w:endnote w:type="continuationSeparator" w:id="0">
    <w:p w:rsidR="00DE3530" w:rsidRDefault="0097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A0" w:rsidRDefault="00874B03">
    <w:pPr>
      <w:pStyle w:val="Standard"/>
      <w:jc w:val="both"/>
      <w:rPr>
        <w:smallCaps/>
        <w:sz w:val="12"/>
      </w:rPr>
    </w:pPr>
  </w:p>
  <w:p w:rsidR="00104FA0" w:rsidRDefault="00874B03">
    <w:pPr>
      <w:pStyle w:val="Standard"/>
      <w:jc w:val="both"/>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30" w:rsidRDefault="00972295">
      <w:r>
        <w:rPr>
          <w:color w:val="000000"/>
        </w:rPr>
        <w:ptab w:relativeTo="margin" w:alignment="center" w:leader="none"/>
      </w:r>
    </w:p>
  </w:footnote>
  <w:footnote w:type="continuationSeparator" w:id="0">
    <w:p w:rsidR="00DE3530" w:rsidRDefault="0097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A0" w:rsidRDefault="00874B03">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64"/>
    <w:rsid w:val="000539B3"/>
    <w:rsid w:val="003B63DA"/>
    <w:rsid w:val="007B503A"/>
    <w:rsid w:val="00813864"/>
    <w:rsid w:val="0083330D"/>
    <w:rsid w:val="00874B03"/>
    <w:rsid w:val="00875D64"/>
    <w:rsid w:val="0095331B"/>
    <w:rsid w:val="00972295"/>
    <w:rsid w:val="009C7C61"/>
    <w:rsid w:val="00B6031A"/>
    <w:rsid w:val="00C23DC6"/>
    <w:rsid w:val="00C52995"/>
    <w:rsid w:val="00CB4D95"/>
    <w:rsid w:val="00CB52A4"/>
    <w:rsid w:val="00DE3530"/>
    <w:rsid w:val="00E57016"/>
    <w:rsid w:val="00E67B21"/>
    <w:rsid w:val="00F141AB"/>
    <w:rsid w:val="00F75242"/>
    <w:rsid w:val="00F97708"/>
    <w:rsid w:val="00FD6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D862"/>
  <w15:docId w15:val="{A11B604E-8838-4030-8890-715E21CC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widowControl/>
      <w:suppressAutoHyphens w:val="0"/>
      <w:spacing w:before="113" w:after="113"/>
      <w:ind w:left="1134" w:firstLine="567"/>
      <w:jc w:val="both"/>
    </w:pPr>
    <w:rPr>
      <w:rFonts w:ascii="Arial" w:eastAsia="Arial" w:hAnsi="Arial" w:cs="Arial"/>
      <w:sz w:val="22"/>
    </w:rPr>
  </w:style>
  <w:style w:type="paragraph" w:styleId="Liste">
    <w:name w:val="List"/>
    <w:basedOn w:val="Textbody"/>
    <w:rPr>
      <w:rFonts w:cs="Mangal"/>
      <w:sz w:val="24"/>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styleId="En-tte">
    <w:name w:val="header"/>
    <w:basedOn w:val="Standard"/>
    <w:pPr>
      <w:spacing w:after="113"/>
    </w:pPr>
    <w:rPr>
      <w:rFonts w:ascii="Arial" w:eastAsia="Arial" w:hAnsi="Arial" w:cs="Arial"/>
      <w:sz w:val="21"/>
    </w:rPr>
  </w:style>
  <w:style w:type="paragraph" w:styleId="Pieddepage">
    <w:name w:val="footer"/>
    <w:basedOn w:val="Standard"/>
  </w:style>
  <w:style w:type="paragraph" w:customStyle="1" w:styleId="Footnote">
    <w:name w:val="Footnote"/>
    <w:basedOn w:val="Standard"/>
    <w:rPr>
      <w:rFonts w:ascii="Arial" w:eastAsia="Arial" w:hAnsi="Arial" w:cs="Arial"/>
      <w:sz w:val="21"/>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western">
    <w:name w:val="western"/>
    <w:basedOn w:val="Normal"/>
    <w:rsid w:val="00FD629C"/>
    <w:pPr>
      <w:widowControl/>
      <w:suppressAutoHyphens w:val="0"/>
      <w:autoSpaceDN/>
      <w:spacing w:before="113" w:after="113"/>
      <w:ind w:left="1134" w:firstLine="567"/>
      <w:jc w:val="both"/>
      <w:textAlignment w:val="auto"/>
    </w:pPr>
    <w:rPr>
      <w:rFonts w:ascii="Arial" w:eastAsia="Times New Roman" w:hAnsi="Arial" w:cs="Arial"/>
      <w:kern w:val="0"/>
      <w:sz w:val="22"/>
      <w:szCs w:val="22"/>
      <w:lang w:eastAsia="fr-FR" w:bidi="ar-SA"/>
    </w:rPr>
  </w:style>
  <w:style w:type="paragraph" w:styleId="Textedebulles">
    <w:name w:val="Balloon Text"/>
    <w:basedOn w:val="Normal"/>
    <w:link w:val="TextedebullesCar"/>
    <w:uiPriority w:val="99"/>
    <w:semiHidden/>
    <w:unhideWhenUsed/>
    <w:rsid w:val="00CB52A4"/>
    <w:rPr>
      <w:rFonts w:ascii="Segoe UI" w:hAnsi="Segoe UI"/>
      <w:sz w:val="18"/>
      <w:szCs w:val="16"/>
    </w:rPr>
  </w:style>
  <w:style w:type="character" w:customStyle="1" w:styleId="TextedebullesCar">
    <w:name w:val="Texte de bulles Car"/>
    <w:basedOn w:val="Policepardfaut"/>
    <w:link w:val="Textedebulles"/>
    <w:uiPriority w:val="99"/>
    <w:semiHidden/>
    <w:rsid w:val="00CB52A4"/>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57869">
      <w:bodyDiv w:val="1"/>
      <w:marLeft w:val="0"/>
      <w:marRight w:val="0"/>
      <w:marTop w:val="0"/>
      <w:marBottom w:val="0"/>
      <w:divBdr>
        <w:top w:val="none" w:sz="0" w:space="0" w:color="auto"/>
        <w:left w:val="none" w:sz="0" w:space="0" w:color="auto"/>
        <w:bottom w:val="none" w:sz="0" w:space="0" w:color="auto"/>
        <w:right w:val="none" w:sz="0" w:space="0" w:color="auto"/>
      </w:divBdr>
    </w:div>
    <w:div w:id="1298224139">
      <w:bodyDiv w:val="1"/>
      <w:marLeft w:val="0"/>
      <w:marRight w:val="0"/>
      <w:marTop w:val="0"/>
      <w:marBottom w:val="0"/>
      <w:divBdr>
        <w:top w:val="none" w:sz="0" w:space="0" w:color="auto"/>
        <w:left w:val="none" w:sz="0" w:space="0" w:color="auto"/>
        <w:bottom w:val="none" w:sz="0" w:space="0" w:color="auto"/>
        <w:right w:val="none" w:sz="0" w:space="0" w:color="auto"/>
      </w:divBdr>
    </w:div>
    <w:div w:id="1491170336">
      <w:bodyDiv w:val="1"/>
      <w:marLeft w:val="0"/>
      <w:marRight w:val="0"/>
      <w:marTop w:val="0"/>
      <w:marBottom w:val="0"/>
      <w:divBdr>
        <w:top w:val="none" w:sz="0" w:space="0" w:color="auto"/>
        <w:left w:val="none" w:sz="0" w:space="0" w:color="auto"/>
        <w:bottom w:val="none" w:sz="0" w:space="0" w:color="auto"/>
        <w:right w:val="none" w:sz="0" w:space="0" w:color="auto"/>
      </w:divBdr>
    </w:div>
    <w:div w:id="157203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Matthieu Mourer</dc:creator>
  <cp:lastModifiedBy>Bénédicte TOULOUSE</cp:lastModifiedBy>
  <cp:revision>6</cp:revision>
  <cp:lastPrinted>2019-11-04T10:45:00Z</cp:lastPrinted>
  <dcterms:created xsi:type="dcterms:W3CDTF">2019-11-06T16:31:00Z</dcterms:created>
  <dcterms:modified xsi:type="dcterms:W3CDTF">2019-11-18T13:21:00Z</dcterms:modified>
</cp:coreProperties>
</file>